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395"/>
        </w:tabs>
        <w:spacing w:line="276" w:lineRule="auto"/>
        <w:ind w:firstLine="0"/>
      </w:pPr>
      <w:r>
        <w:rPr>
          <w:b w:val="1"/>
          <w:bCs w:val="1"/>
          <w:rtl w:val="0"/>
          <w:lang w:val="pt-PT"/>
        </w:rPr>
        <w:t>EXCELENT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SSIMO(A) SENHOR(A) DOUTOR(A) JUIZ(A) FEDERAL DA       VARA  DA SE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JUDICI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RIA DO RIO DE JANEIRO/RJ - TRIBUNAL REGIONAL FEDERAL DA 2</w:t>
      </w:r>
      <w:r>
        <w:rPr>
          <w:b w:val="1"/>
          <w:bCs w:val="1"/>
          <w:rtl w:val="0"/>
          <w:lang w:val="pt-PT"/>
        </w:rPr>
        <w:t xml:space="preserve">ª </w:t>
      </w:r>
      <w:r>
        <w:rPr>
          <w:b w:val="1"/>
          <w:bCs w:val="1"/>
          <w:rtl w:val="0"/>
          <w:lang w:val="pt-PT"/>
        </w:rPr>
        <w:t>REGI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</w:t>
      </w:r>
    </w:p>
    <w:p>
      <w:pPr>
        <w:pStyle w:val="Normal.0"/>
        <w:tabs>
          <w:tab w:val="left" w:pos="4395"/>
        </w:tabs>
        <w:spacing w:line="276" w:lineRule="auto"/>
        <w:rPr>
          <w:b w:val="1"/>
          <w:bCs w:val="1"/>
        </w:rPr>
      </w:pPr>
    </w:p>
    <w:p>
      <w:pPr>
        <w:pStyle w:val="Normal.0"/>
        <w:tabs>
          <w:tab w:val="left" w:pos="4395"/>
        </w:tabs>
        <w:spacing w:line="276" w:lineRule="auto"/>
      </w:pPr>
      <w:r>
        <w:rPr>
          <w:b w:val="1"/>
          <w:bCs w:val="1"/>
          <w:rtl w:val="0"/>
          <w:lang w:val="pt-PT"/>
        </w:rPr>
        <w:t>ASSOCIAC</w:t>
      </w:r>
      <w:r>
        <w:rPr>
          <w:b w:val="1"/>
          <w:bCs w:val="1"/>
          <w:rtl w:val="0"/>
          <w:lang w:val="pt-PT"/>
        </w:rPr>
        <w:t>̧</w:t>
      </w:r>
      <w:r>
        <w:rPr>
          <w:b w:val="1"/>
          <w:bCs w:val="1"/>
          <w:rtl w:val="0"/>
          <w:lang w:val="pt-PT"/>
        </w:rPr>
        <w:t>A</w:t>
      </w:r>
      <w:r>
        <w:rPr>
          <w:b w:val="1"/>
          <w:bCs w:val="1"/>
          <w:rtl w:val="0"/>
          <w:lang w:val="pt-PT"/>
        </w:rPr>
        <w:t>̃</w:t>
      </w:r>
      <w:r>
        <w:rPr>
          <w:b w:val="1"/>
          <w:bCs w:val="1"/>
          <w:rtl w:val="0"/>
          <w:lang w:val="pt-PT"/>
        </w:rPr>
        <w:t xml:space="preserve">O BRASILEIRA DE IMPRENSA (ABI), </w:t>
      </w:r>
      <w:r>
        <w:rPr>
          <w:rtl w:val="0"/>
          <w:lang w:val="pt-PT"/>
        </w:rPr>
        <w:t>pessoa juri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dica inscrita no CNPJ/MF sob o no 34.058.917/0001-69, com domici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lio na Rua Arau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jo Porto Alegre, 71, Centro, Rio de Janeiro, RJ, CEP 20030-012, representado por seu presidente Paulo Jeronimo de Sousa, brasileiro, divorciado, jornalista auto</w:t>
      </w:r>
      <w:r>
        <w:rPr>
          <w:rtl w:val="0"/>
          <w:lang w:val="pt-PT"/>
        </w:rPr>
        <w:t>̂</w:t>
      </w:r>
      <w:r>
        <w:rPr>
          <w:rtl w:val="0"/>
          <w:lang w:val="pt-PT"/>
        </w:rPr>
        <w:t>nomo, portador do CPF no 032.936.967-91 e da Carteira de Identidade no 2215389- IFP atrave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s de seu advogado infra-assinado (Procurac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em anexo), com escrito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rio na Avenida Beira Mar, no 406, Grupo no 1.205, Centro, Rio de Janeiro, RJ, CEP 20021-060, local onde recebe intimac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 xml:space="preserve">es, vem </w:t>
      </w:r>
      <w:r>
        <w:rPr>
          <w:rtl w:val="0"/>
          <w:lang w:val="pt-PT"/>
        </w:rPr>
        <w:t xml:space="preserve">respeitosamente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presen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Vossa Excel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ncia, </w:t>
      </w:r>
      <w:r>
        <w:rPr>
          <w:rtl w:val="0"/>
          <w:lang w:val="pt-PT"/>
        </w:rPr>
        <w:t>com fulcro no art. 5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LXIX da CRFB/88 e na Lei 12.016/09,</w:t>
      </w:r>
      <w:r>
        <w:rPr>
          <w:rtl w:val="0"/>
          <w:lang w:val="pt-PT"/>
        </w:rPr>
        <w:t xml:space="preserve"> impetrar </w:t>
      </w:r>
    </w:p>
    <w:p>
      <w:pPr>
        <w:pStyle w:val="Normal.0"/>
        <w:tabs>
          <w:tab w:val="left" w:pos="4395"/>
        </w:tabs>
        <w:spacing w:line="276" w:lineRule="auto"/>
        <w:rPr>
          <w:lang w:val="pt-PT"/>
        </w:rPr>
      </w:pPr>
    </w:p>
    <w:p>
      <w:pPr>
        <w:pStyle w:val="Normal.0"/>
        <w:tabs>
          <w:tab w:val="left" w:pos="4395"/>
        </w:tabs>
        <w:spacing w:line="276" w:lineRule="auto"/>
        <w:jc w:val="center"/>
        <w:rPr>
          <w:lang w:val="pt-PT"/>
        </w:rPr>
      </w:pPr>
      <w:r>
        <w:rPr>
          <w:b w:val="1"/>
          <w:bCs w:val="1"/>
          <w:rtl w:val="0"/>
          <w:lang w:val="pt-PT"/>
        </w:rPr>
        <w:t>MANDADO DE SEGURAN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  <w:lang w:val="pt-PT"/>
        </w:rPr>
        <w:t>A COM PEDIDO DE LIMINAR</w:t>
      </w:r>
    </w:p>
    <w:p>
      <w:pPr>
        <w:pStyle w:val="Normal.0"/>
        <w:tabs>
          <w:tab w:val="left" w:pos="4395"/>
        </w:tabs>
      </w:pPr>
      <w:r>
        <w:rPr>
          <w:rtl w:val="0"/>
          <w:lang w:val="pt-PT"/>
        </w:rPr>
        <w:t>em face do ato coator praticado pela Secretaria Nacional do Consumidor e ato coator praticado pela Secretaria Nacional da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vinculados a 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Federal, pessoa jur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dica de direito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inscrita sob o CNPJ 05.489.410/0001-61.</w:t>
      </w:r>
    </w:p>
    <w:p>
      <w:pPr>
        <w:pStyle w:val="Normal.0"/>
        <w:tabs>
          <w:tab w:val="left" w:pos="4395"/>
        </w:tabs>
      </w:pPr>
    </w:p>
    <w:p>
      <w:pPr>
        <w:pStyle w:val="Normal.0"/>
        <w:tabs>
          <w:tab w:val="left" w:pos="4395"/>
        </w:tabs>
        <w:ind w:firstLine="1134"/>
      </w:pPr>
      <w:r>
        <w:rPr>
          <w:b w:val="1"/>
          <w:bCs w:val="1"/>
          <w:rtl w:val="0"/>
          <w:lang w:val="pt-PT"/>
        </w:rPr>
        <w:t xml:space="preserve">I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TEMPESTIVIDADE </w:t>
      </w:r>
    </w:p>
    <w:p>
      <w:pPr>
        <w:pStyle w:val="Normal.0"/>
        <w:numPr>
          <w:ilvl w:val="0"/>
          <w:numId w:val="2"/>
        </w:numPr>
        <w:rPr>
          <w:lang w:val="pt-PT"/>
        </w:rPr>
      </w:pPr>
      <w:r>
        <w:rPr>
          <w:rtl w:val="0"/>
          <w:lang w:val="pt-PT"/>
        </w:rPr>
        <w:t>A possibilidade de impetra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repressivo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sujeita ao prazo decadencial de 120 (cento e vinte) dias, a contar da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do ato coator, nos termos do art. 23 da Lei 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12.016/09 c/c S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mula 632 do STF, motivo pelo qual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tempestiva a presente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Normal.0"/>
        <w:tabs>
          <w:tab w:val="left" w:pos="4395"/>
        </w:tabs>
      </w:pPr>
    </w:p>
    <w:p>
      <w:pPr>
        <w:pStyle w:val="Normal.0"/>
        <w:tabs>
          <w:tab w:val="left" w:pos="4395"/>
        </w:tabs>
        <w:ind w:firstLine="1134"/>
      </w:pPr>
      <w:r>
        <w:rPr>
          <w:b w:val="1"/>
          <w:bCs w:val="1"/>
          <w:rtl w:val="0"/>
          <w:lang w:val="pt-PT"/>
        </w:rPr>
        <w:t xml:space="preserve">II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DA PROVA PR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pt-PT"/>
        </w:rPr>
        <w:t>CONSTITU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DA </w:t>
      </w:r>
    </w:p>
    <w:p>
      <w:pPr>
        <w:pStyle w:val="Normal.0"/>
        <w:numPr>
          <w:ilvl w:val="0"/>
          <w:numId w:val="3"/>
        </w:numPr>
        <w:rPr>
          <w:lang w:val="pt-PT"/>
        </w:rPr>
      </w:pPr>
      <w:r>
        <w:rPr>
          <w:rtl w:val="0"/>
          <w:lang w:val="pt-PT"/>
        </w:rPr>
        <w:t>O direito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quido e certo da Impetrante resta comprovado, como se 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adiante,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havendo necessidade de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futura de provas, nos termos do art. 6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caput, da Lei 12.016/09.</w:t>
      </w:r>
    </w:p>
    <w:p>
      <w:pPr>
        <w:pStyle w:val="Normal.0"/>
        <w:ind w:left="927" w:firstLine="0"/>
      </w:pPr>
    </w:p>
    <w:p>
      <w:pPr>
        <w:pStyle w:val="Normal.0"/>
        <w:tabs>
          <w:tab w:val="left" w:pos="4395"/>
        </w:tabs>
        <w:ind w:firstLine="1134"/>
      </w:pPr>
      <w:r>
        <w:rPr>
          <w:b w:val="1"/>
          <w:bCs w:val="1"/>
          <w:rtl w:val="0"/>
          <w:lang w:val="pt-PT"/>
        </w:rPr>
        <w:t xml:space="preserve">III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DA LEGITIMIDADE ATIVA</w:t>
      </w: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Segundo a Lei 12.016/09, 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pode ser impetrado por qualquer pessoa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 ou jur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dica quando houver viola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algum direito por parte de autoridade, por ilegalidade ou abuso de poder:</w:t>
      </w:r>
    </w:p>
    <w:p>
      <w:pPr>
        <w:pStyle w:val="Normal.0"/>
        <w:spacing w:line="276" w:lineRule="auto"/>
        <w:rPr>
          <w:lang w:val="pt-PT"/>
        </w:rPr>
      </w:pPr>
    </w:p>
    <w:p>
      <w:pPr>
        <w:pStyle w:val="Jurisprudencia"/>
        <w:rPr>
          <w:lang w:val="pt-PT"/>
        </w:rPr>
      </w:pPr>
      <w:r>
        <w:rPr>
          <w:rtl w:val="0"/>
          <w:lang w:val="pt-PT"/>
        </w:rPr>
        <w:t>Art. 1</w:t>
      </w:r>
      <w:r>
        <w:rPr>
          <w:rtl w:val="0"/>
          <w:lang w:val="pt-PT"/>
        </w:rPr>
        <w:t xml:space="preserve">º  </w:t>
      </w:r>
      <w:r>
        <w:rPr>
          <w:rtl w:val="0"/>
          <w:lang w:val="pt-PT"/>
        </w:rPr>
        <w:t>Conceder-se-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para proteger direito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quido e certo,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amparado por habeas corpus ou habeas data, sempre que, ilegalmente ou com abuso de poder, qualquer pessoa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 ou jur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dica sofrer viola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ou houver justo receio de sofr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-la por parte de autoridade, seja de que categoria for e sejam quais forem as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que exer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a.</w:t>
      </w:r>
    </w:p>
    <w:p>
      <w:pPr>
        <w:pStyle w:val="Normal.0"/>
        <w:spacing w:line="276" w:lineRule="auto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A Associac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Brasileira de Imprensa, importante e dedicado defensor das liberdades constitucionais, preza pela manifestac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de pensamento e de opinia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o.</w:t>
      </w:r>
      <w:r>
        <w:rPr>
          <w:rtl w:val="0"/>
          <w:lang w:val="pt-PT"/>
        </w:rPr>
        <w:t xml:space="preserve"> C</w:t>
      </w:r>
      <w:r>
        <w:rPr>
          <w:rtl w:val="0"/>
          <w:lang w:val="pt-PT"/>
        </w:rPr>
        <w:t>onforme an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lise do Estatuto Social (em anexo), resta observado que o mesmo possui cl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usula que define dentre suas finalidades assegurar e ampliar as conquistas sociais do povo brasileiro, a fim de obter maior a defesa da e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tica, dos direitos humanos e da liberdade de informac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e expressa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 xml:space="preserve">o, podendo-se pleitear aos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 governamentais o amparo efetivo a estes indiv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duos.</w:t>
      </w:r>
    </w:p>
    <w:p>
      <w:pPr>
        <w:pStyle w:val="Normal.0"/>
        <w:spacing w:line="276" w:lineRule="auto"/>
        <w:ind w:left="567" w:firstLine="0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Dessa forma, como se discute no caso em concreto o direito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art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 de todos os cidad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os, a ABI, enquanto pessoa jur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dica com relev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e 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tem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 mostra-se plenamente leg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tima para impetrar o presente 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vide a ilegalidade e abuso de poder dos atos das autoridades, como se mostrar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a seguir.</w:t>
      </w:r>
    </w:p>
    <w:p>
      <w:pPr>
        <w:pStyle w:val="Normal.0"/>
        <w:spacing w:line="276" w:lineRule="auto"/>
        <w:ind w:left="927" w:firstLine="0"/>
        <w:rPr>
          <w:lang w:val="pt-PT"/>
        </w:rPr>
      </w:pPr>
    </w:p>
    <w:p>
      <w:pPr>
        <w:pStyle w:val="Normal.0"/>
        <w:spacing w:line="276" w:lineRule="auto"/>
        <w:ind w:left="927" w:firstLine="0"/>
        <w:rPr>
          <w:lang w:val="pt-PT"/>
        </w:rPr>
      </w:pPr>
    </w:p>
    <w:p>
      <w:pPr>
        <w:pStyle w:val="Normal.0"/>
        <w:tabs>
          <w:tab w:val="left" w:pos="4395"/>
        </w:tabs>
        <w:ind w:firstLine="1134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IV. S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NTESE DOS FATOS </w:t>
      </w:r>
    </w:p>
    <w:p>
      <w:pPr>
        <w:pStyle w:val="Normal.0"/>
        <w:numPr>
          <w:ilvl w:val="0"/>
          <w:numId w:val="3"/>
        </w:numPr>
        <w:rPr>
          <w:lang w:val="pt-PT"/>
        </w:rPr>
      </w:pPr>
      <w:r>
        <w:rPr>
          <w:rtl w:val="0"/>
          <w:lang w:val="pt-PT"/>
        </w:rPr>
        <w:t>Como amplamente noticiado em redes sociais, o Minist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da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blica</w:t>
      </w:r>
      <w:r>
        <w:rPr>
          <w:rStyle w:val="Ref. de nota de rodapé"/>
        </w:rPr>
        <w:footnoteReference w:id="1"/>
      </w:r>
      <w:r>
        <w:rPr>
          <w:rtl w:val="0"/>
          <w:lang w:val="pt-PT"/>
        </w:rPr>
        <w:t>, por meio da Secretaria Nacional de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(Senajus), definiu que o filme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Como se tornar o pior aluno da escola</w:t>
      </w:r>
      <w:r>
        <w:rPr>
          <w:rtl w:val="0"/>
          <w:lang w:val="pt-PT"/>
        </w:rPr>
        <w:t xml:space="preserve">”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recomendado para menores de 18 (dezoito) anos. O texto, publicado no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Oficial da 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rStyle w:val="Ref. de nota de rodapé"/>
        </w:rPr>
        <w:footnoteReference w:id="2"/>
      </w:r>
      <w:r>
        <w:rPr>
          <w:rtl w:val="0"/>
          <w:lang w:val="pt-PT"/>
        </w:rPr>
        <w:t xml:space="preserve"> nesta quarta-feira, dia 16/03/2022, indica que o audiovisual apresenta 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 com tend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de coa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sexual ou estupro, ato de pedofilia e situa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sexual complexa.</w:t>
      </w:r>
    </w:p>
    <w:p>
      <w:pPr>
        <w:pStyle w:val="Normal.0"/>
        <w:ind w:left="927" w:firstLine="0"/>
      </w:pPr>
    </w:p>
    <w:p>
      <w:pPr>
        <w:pStyle w:val="Normal.0"/>
        <w:numPr>
          <w:ilvl w:val="0"/>
          <w:numId w:val="3"/>
        </w:numPr>
        <w:rPr>
          <w:lang w:val="pt-PT"/>
        </w:rPr>
      </w:pPr>
      <w:r>
        <w:rPr>
          <w:rtl w:val="0"/>
          <w:lang w:val="pt-PT"/>
        </w:rPr>
        <w:t>Nessa linha, como justificativa de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integral a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e adolescentes, a Secretaria Nacional do Consumidor (Senacon) instaurou processo administrativo cautelar que determina a suspens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imediata da disponibiliza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exibi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oferta do filme em plataformas digitais como Netflix, Globo Comunica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(Telecine e Globoplay), Google Brasil (Youtube), Apple Computer Brasil e Amazon Brasil. </w:t>
      </w:r>
    </w:p>
    <w:p>
      <w:pPr>
        <w:pStyle w:val="Normal.0"/>
        <w:ind w:firstLine="0"/>
      </w:pPr>
    </w:p>
    <w:p>
      <w:pPr>
        <w:pStyle w:val="Normal.0"/>
        <w:numPr>
          <w:ilvl w:val="0"/>
          <w:numId w:val="3"/>
        </w:numPr>
        <w:rPr>
          <w:lang w:val="pt-PT"/>
        </w:rPr>
      </w:pPr>
      <w:r>
        <w:rPr>
          <w:rtl w:val="0"/>
          <w:lang w:val="pt-PT"/>
        </w:rPr>
        <w:t>Estipulou, ainda, em caso de descumprimento de determina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que os sistemas de streaming paguem multa de R$50.000,00 (cinquenta mil reais) a partir do quinto dia de ser notificada da decis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e podendo sofrer san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administrativas e penais.</w:t>
      </w:r>
    </w:p>
    <w:p>
      <w:pPr>
        <w:pStyle w:val="Parágrafo da Lista"/>
      </w:pPr>
    </w:p>
    <w:p>
      <w:pPr>
        <w:pStyle w:val="Normal.0"/>
        <w:numPr>
          <w:ilvl w:val="0"/>
          <w:numId w:val="3"/>
        </w:numPr>
        <w:rPr>
          <w:lang w:val="pt-PT"/>
        </w:rPr>
      </w:pPr>
      <w:r>
        <w:rPr>
          <w:rtl w:val="0"/>
          <w:lang w:val="pt-PT"/>
        </w:rPr>
        <w:t xml:space="preserve">Nesse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nterim, trata-se de not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ato arbitr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e cerceamento da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por parte das Secretarias Nacionais, vinculadas ao Minist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da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 ao Poder Executivo Federal.</w:t>
      </w:r>
    </w:p>
    <w:p>
      <w:pPr>
        <w:pStyle w:val="Normal.0"/>
        <w:tabs>
          <w:tab w:val="left" w:pos="4395"/>
        </w:tabs>
      </w:pPr>
    </w:p>
    <w:p>
      <w:pPr>
        <w:pStyle w:val="Normal.0"/>
        <w:tabs>
          <w:tab w:val="left" w:pos="4395"/>
        </w:tabs>
        <w:ind w:left="567" w:firstLine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IV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DOS FUNDAMENTOS JUR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DICOS E DO DIREITO FUNDAMENTAL 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LIBERDADE DE EXPRESS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</w:t>
      </w:r>
    </w:p>
    <w:p>
      <w:pPr>
        <w:pStyle w:val="Normal.0"/>
        <w:tabs>
          <w:tab w:val="left" w:pos="4395"/>
        </w:tabs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De acordo com o que exp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o art. 5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LXIX da CRFB/88, o 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ser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concedido para proteger direito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quido e certo,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amparado por habeas corpus ou habeas data, quando o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pela ilegalidade ou abuso de poder for autoridade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blica ou agente de pessoa jur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dica no exerc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de atribui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do Poder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blico. </w:t>
      </w:r>
    </w:p>
    <w:p>
      <w:pPr>
        <w:pStyle w:val="Normal.0"/>
        <w:spacing w:line="276" w:lineRule="auto"/>
        <w:ind w:left="927" w:firstLine="0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No caso narrado,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a impetra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outro rem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 constitucional, motivo pelo qual se faz cab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o presente 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restando preenchido o requisito da residualidade.</w:t>
      </w:r>
    </w:p>
    <w:p>
      <w:pPr>
        <w:pStyle w:val="Normal.0"/>
        <w:spacing w:line="276" w:lineRule="auto"/>
        <w:ind w:left="927" w:firstLine="0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Isso posto, sabe-se que o direito a</w:t>
      </w:r>
      <w:r>
        <w:rPr>
          <w:rtl w:val="0"/>
          <w:lang w:val="pt-PT"/>
        </w:rPr>
        <w:t xml:space="preserve">̀ </w:t>
      </w:r>
      <w:r>
        <w:rPr>
          <w:rtl w:val="0"/>
          <w:lang w:val="pt-PT"/>
        </w:rPr>
        <w:t>informac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e</w:t>
      </w:r>
      <w:r>
        <w:rPr>
          <w:rtl w:val="0"/>
          <w:lang w:val="pt-PT"/>
        </w:rPr>
        <w:t xml:space="preserve">́ </w:t>
      </w:r>
      <w:r>
        <w:rPr>
          <w:rtl w:val="0"/>
          <w:lang w:val="pt-PT"/>
        </w:rPr>
        <w:t>um verdadeiro instrumento de concretizac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do exerci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cio da liberdade e da cidadania. Observe, V. Exa., que o tema de fundo do presente requerimento e</w:t>
      </w:r>
      <w:r>
        <w:rPr>
          <w:rtl w:val="0"/>
          <w:lang w:val="pt-PT"/>
        </w:rPr>
        <w:t xml:space="preserve">́ </w:t>
      </w:r>
      <w:r>
        <w:rPr>
          <w:rtl w:val="0"/>
          <w:lang w:val="pt-PT"/>
        </w:rPr>
        <w:t>a violac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procedida a</w:t>
      </w:r>
      <w:r>
        <w:rPr>
          <w:rtl w:val="0"/>
          <w:lang w:val="pt-PT"/>
        </w:rPr>
        <w:t xml:space="preserve">̀ </w:t>
      </w:r>
      <w:r>
        <w:rPr>
          <w:rtl w:val="0"/>
          <w:lang w:val="pt-PT"/>
        </w:rPr>
        <w:t>garantia constitucional do direito a</w:t>
      </w:r>
      <w:r>
        <w:rPr>
          <w:rtl w:val="0"/>
          <w:lang w:val="pt-PT"/>
        </w:rPr>
        <w:t xml:space="preserve">̀ </w:t>
      </w:r>
      <w:r>
        <w:rPr>
          <w:rtl w:val="0"/>
          <w:lang w:val="pt-PT"/>
        </w:rPr>
        <w:t>liberdade de expressa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e de imprensa. Ao que parece, o Brasil, infelizmente, ainda na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superou por completo o trac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o autorita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rio e ditatorial de limitac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es indevidas a</w:t>
      </w:r>
      <w:r>
        <w:rPr>
          <w:rtl w:val="0"/>
          <w:lang w:val="pt-PT"/>
        </w:rPr>
        <w:t xml:space="preserve">̀ </w:t>
      </w:r>
      <w:r>
        <w:rPr>
          <w:rtl w:val="0"/>
          <w:lang w:val="pt-PT"/>
        </w:rPr>
        <w:t>ampla liberdade de expressa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o, sobretudo poli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 xml:space="preserve">tica. </w:t>
      </w:r>
    </w:p>
    <w:p>
      <w:pPr>
        <w:pStyle w:val="Parágrafo da Lista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Nota-se,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m, que eventuais limites da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enquanto 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ordem constitucional, s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podem ser discutidos pelo Poder e Judici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e lembram que o julgamento de uma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direta de inconstitucionalidade, no Supremo Tribunal Federal,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decidiu que, nem mesmo a exibi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programa em 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diverso da classifica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indicativa, poderia resultar em penalidades, o que demonstra como a proibi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exibi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filme contraria 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jurisprud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ncia.</w:t>
      </w:r>
    </w:p>
    <w:p>
      <w:pPr>
        <w:pStyle w:val="Parágrafo da Lista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Nesse sentido, destaca-se o Informativo 998 do Supremo Tribunal Federal, quando entendeu pela viola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 decis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retirar da Netflix o especial de Natal do Porta dos Fundos porque seu 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 satirizaria cren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as e valores do cristianismo: </w:t>
      </w:r>
    </w:p>
    <w:p>
      <w:pPr>
        <w:pStyle w:val="Parágrafo da Lista"/>
        <w:rPr>
          <w:lang w:val="pt-PT"/>
        </w:rPr>
      </w:pPr>
    </w:p>
    <w:p>
      <w:pPr>
        <w:pStyle w:val="Jurisprudencia"/>
        <w:rPr>
          <w:lang w:val="pt-PT"/>
        </w:rPr>
      </w:pPr>
      <w:r>
        <w:rPr>
          <w:rtl w:val="0"/>
          <w:lang w:val="pt-PT"/>
        </w:rPr>
        <w:t>“</w:t>
      </w:r>
      <w:r>
        <w:rPr>
          <w:rtl w:val="0"/>
          <w:lang w:val="pt-PT"/>
        </w:rPr>
        <w:t>Informativo 998. DIREITO CONSTITUCIONAL.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Viola 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 decis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retirar da Netflix o especial de Natal do Porta dos Fundos porque seu 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 satiriza cren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e valores do cristianismo.</w:t>
      </w:r>
      <w:r>
        <w:rPr>
          <w:rtl w:val="0"/>
          <w:lang w:val="pt-PT"/>
        </w:rPr>
        <w:t>”</w:t>
      </w:r>
    </w:p>
    <w:p>
      <w:pPr>
        <w:pStyle w:val="Normal.0"/>
        <w:spacing w:line="276" w:lineRule="auto"/>
        <w:ind w:left="927" w:firstLine="0"/>
        <w:rPr>
          <w:lang w:val="pt-PT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Destaca-se, ainda, a jurisprud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 da Corte Interamericana de Direitos Humanos no caso Blake v. Guatemala, julgado em 2001, quando a Corte reconheceu </w:t>
      </w:r>
      <w:r>
        <w:rPr>
          <w:rtl w:val="0"/>
          <w:lang w:val="pt-PT"/>
        </w:rPr>
        <w:t>a intensa rela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entre 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a democracia. Isso porque 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se realiza na democracia, 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 partir da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que se constr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i 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democracia</w:t>
      </w:r>
      <w:r>
        <w:rPr>
          <w:rtl w:val="0"/>
          <w:lang w:val="pt-PT"/>
        </w:rPr>
        <w:t xml:space="preserve">. </w:t>
      </w:r>
    </w:p>
    <w:p>
      <w:pPr>
        <w:pStyle w:val="Normal.0"/>
        <w:spacing w:line="276" w:lineRule="auto"/>
        <w:ind w:left="709" w:firstLine="0"/>
        <w:rPr>
          <w:lang w:val="pt-PT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Outro caso extremamente semelhante, </w:t>
      </w:r>
      <w:r>
        <w:rPr>
          <w:rtl w:val="0"/>
          <w:lang w:val="pt-PT"/>
        </w:rPr>
        <w:t xml:space="preserve">conhecido como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ltima Tenta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Cristo v. Chile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, foi o primeiro em que a Corte Interamericana de Direitos Humanos reconheceu o fundamento democr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 da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e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o primeiro em que houve condena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ao direito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Chile havia impedido que os cidad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 tivessem acesso ao filme, mas a censura cinematogr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 foi travada, vez que a Corte condenou o 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 pela censura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via e viola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ao direito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previsto no artigo 13 da Conven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Americana sobre Direitos Humanos</w:t>
      </w:r>
      <w:r>
        <w:rPr>
          <w:vertAlign w:val="superscript"/>
          <w:lang w:val="pt-PT"/>
        </w:rPr>
        <w:footnoteReference w:id="3"/>
      </w:r>
      <w:r>
        <w:rPr>
          <w:rtl w:val="0"/>
          <w:lang w:val="pt-PT"/>
        </w:rPr>
        <w:t xml:space="preserve">.  </w:t>
      </w:r>
    </w:p>
    <w:p>
      <w:pPr>
        <w:pStyle w:val="Normal.0"/>
        <w:spacing w:line="276" w:lineRule="auto"/>
        <w:ind w:left="709" w:firstLine="0"/>
        <w:rPr>
          <w:lang w:val="pt-PT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Nesse ponto, a autora Adriana Ulloa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ressaltou o papel da autora ressalta o papel da livre circula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ideias e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na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democracia</w:t>
      </w:r>
      <w:r>
        <w:rPr>
          <w:rStyle w:val="Ref. de nota de rodapé"/>
        </w:rPr>
        <w:footnoteReference w:id="4"/>
      </w:r>
      <w:r>
        <w:rPr>
          <w:rtl w:val="0"/>
          <w:lang w:val="pt-PT"/>
        </w:rPr>
        <w:t>.</w:t>
      </w:r>
    </w:p>
    <w:p>
      <w:pPr>
        <w:pStyle w:val="Normal.0"/>
        <w:spacing w:line="276" w:lineRule="auto"/>
        <w:ind w:left="709" w:firstLine="0"/>
        <w:rPr>
          <w:lang w:val="pt-PT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Destarte,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importante deixar claro que o filme, caracterizado como obra c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mica/caricata, se trata de uma obra de fic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e que o personagem que comete pedofilia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um vil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assim como tem esses tipos de personagem que matam e cometem outros crimes em filmes que exp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viol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ncia, armas, drogas e 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 sexual, e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por isso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retirados de plataformas digitais ou sujeitos a censura cinematogr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 por raz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pol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tico-sociais, como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o caso. </w:t>
      </w:r>
    </w:p>
    <w:p>
      <w:pPr>
        <w:pStyle w:val="Normal.0"/>
        <w:spacing w:line="276" w:lineRule="auto"/>
        <w:ind w:left="709" w:firstLine="0"/>
        <w:rPr>
          <w:lang w:val="pt-PT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de rigor registrar que o direito liberdade de expressa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se define como um direito fundamental constitucionalmente expresso, consoante o art. 5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incisos IV e IX, e de forma especial preceitua a liberdade de imprensa no art. 220, conforme o texto legal: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“</w:t>
      </w:r>
      <w:r>
        <w:rPr>
          <w:sz w:val="20"/>
          <w:szCs w:val="20"/>
          <w:rtl w:val="0"/>
          <w:lang w:val="pt-PT"/>
        </w:rPr>
        <w:t>Art. 5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[...]</w:t>
      </w:r>
    </w:p>
    <w:p>
      <w:pPr>
        <w:pStyle w:val="Normal.0"/>
        <w:spacing w:line="276" w:lineRule="auto"/>
        <w:ind w:left="2268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IV - e</w:t>
      </w:r>
      <w:r>
        <w:rPr>
          <w:b w:val="1"/>
          <w:bCs w:val="1"/>
          <w:sz w:val="20"/>
          <w:szCs w:val="20"/>
          <w:rtl w:val="0"/>
          <w:lang w:val="pt-PT"/>
        </w:rPr>
        <w:t xml:space="preserve">́ </w:t>
      </w:r>
      <w:r>
        <w:rPr>
          <w:b w:val="1"/>
          <w:bCs w:val="1"/>
          <w:sz w:val="20"/>
          <w:szCs w:val="20"/>
          <w:rtl w:val="0"/>
          <w:lang w:val="pt-PT"/>
        </w:rPr>
        <w:t>livre a manifestac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do pensamento, sendo vedado o anonimato; [...]</w:t>
      </w:r>
    </w:p>
    <w:p>
      <w:pPr>
        <w:pStyle w:val="Normal.0"/>
        <w:spacing w:line="276" w:lineRule="auto"/>
        <w:ind w:left="2268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IX - e</w:t>
      </w:r>
      <w:r>
        <w:rPr>
          <w:b w:val="1"/>
          <w:bCs w:val="1"/>
          <w:sz w:val="20"/>
          <w:szCs w:val="20"/>
          <w:rtl w:val="0"/>
          <w:lang w:val="pt-PT"/>
        </w:rPr>
        <w:t xml:space="preserve">́ </w:t>
      </w:r>
      <w:r>
        <w:rPr>
          <w:b w:val="1"/>
          <w:bCs w:val="1"/>
          <w:sz w:val="20"/>
          <w:szCs w:val="20"/>
          <w:rtl w:val="0"/>
          <w:lang w:val="pt-PT"/>
        </w:rPr>
        <w:t>livre a expressa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da atividade intelectual, arti</w:t>
      </w:r>
      <w:r>
        <w:rPr>
          <w:b w:val="1"/>
          <w:bCs w:val="1"/>
          <w:sz w:val="20"/>
          <w:szCs w:val="20"/>
          <w:rtl w:val="0"/>
          <w:lang w:val="pt-PT"/>
        </w:rPr>
        <w:t>́</w:t>
      </w:r>
      <w:r>
        <w:rPr>
          <w:b w:val="1"/>
          <w:bCs w:val="1"/>
          <w:sz w:val="20"/>
          <w:szCs w:val="20"/>
          <w:rtl w:val="0"/>
          <w:lang w:val="pt-PT"/>
        </w:rPr>
        <w:t>stica, cienti</w:t>
      </w:r>
      <w:r>
        <w:rPr>
          <w:b w:val="1"/>
          <w:bCs w:val="1"/>
          <w:sz w:val="20"/>
          <w:szCs w:val="20"/>
          <w:rtl w:val="0"/>
          <w:lang w:val="pt-PT"/>
        </w:rPr>
        <w:t>́</w:t>
      </w:r>
      <w:r>
        <w:rPr>
          <w:b w:val="1"/>
          <w:bCs w:val="1"/>
          <w:sz w:val="20"/>
          <w:szCs w:val="20"/>
          <w:rtl w:val="0"/>
          <w:lang w:val="pt-PT"/>
        </w:rPr>
        <w:t>fica e de comunicac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o, independentemente de censura ou licenc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a;</w:t>
      </w:r>
      <w:r>
        <w:rPr>
          <w:b w:val="1"/>
          <w:bCs w:val="1"/>
          <w:sz w:val="20"/>
          <w:szCs w:val="20"/>
          <w:rtl w:val="0"/>
          <w:lang w:val="pt-PT"/>
        </w:rPr>
        <w:t>”</w:t>
      </w:r>
    </w:p>
    <w:p>
      <w:pPr>
        <w:pStyle w:val="Normal.0"/>
        <w:spacing w:line="276" w:lineRule="auto"/>
        <w:ind w:left="2268" w:firstLine="0"/>
        <w:rPr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[...]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“</w:t>
      </w:r>
      <w:r>
        <w:rPr>
          <w:sz w:val="20"/>
          <w:szCs w:val="20"/>
          <w:rtl w:val="0"/>
          <w:lang w:val="pt-PT"/>
        </w:rPr>
        <w:t xml:space="preserve">Art. 220. </w:t>
      </w:r>
      <w:r>
        <w:rPr>
          <w:b w:val="1"/>
          <w:bCs w:val="1"/>
          <w:sz w:val="20"/>
          <w:szCs w:val="20"/>
          <w:rtl w:val="0"/>
          <w:lang w:val="pt-PT"/>
        </w:rPr>
        <w:t>A manifestac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do pensamento, a criac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o, a expressa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e a informac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o, sob qualquer forma, processo ou vei</w:t>
      </w:r>
      <w:r>
        <w:rPr>
          <w:b w:val="1"/>
          <w:bCs w:val="1"/>
          <w:sz w:val="20"/>
          <w:szCs w:val="20"/>
          <w:rtl w:val="0"/>
          <w:lang w:val="pt-PT"/>
        </w:rPr>
        <w:t>́</w:t>
      </w:r>
      <w:r>
        <w:rPr>
          <w:b w:val="1"/>
          <w:bCs w:val="1"/>
          <w:sz w:val="20"/>
          <w:szCs w:val="20"/>
          <w:rtl w:val="0"/>
          <w:lang w:val="pt-PT"/>
        </w:rPr>
        <w:t>culo na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sofrera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qualquer restric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o, observado o disposto nesta Constituic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o.</w:t>
      </w:r>
      <w:r>
        <w:rPr>
          <w:sz w:val="20"/>
          <w:szCs w:val="20"/>
          <w:rtl w:val="0"/>
          <w:lang w:val="pt-PT"/>
        </w:rPr>
        <w:t>”</w:t>
      </w:r>
    </w:p>
    <w:p>
      <w:pPr>
        <w:pStyle w:val="Normal.0"/>
        <w:tabs>
          <w:tab w:val="left" w:pos="851"/>
        </w:tabs>
        <w:ind w:left="927" w:firstLine="0"/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Cumpre destacar, ainda, que os diversos Tratados Internacionais, em que o Brasil e</w:t>
      </w:r>
      <w:r>
        <w:rPr>
          <w:rtl w:val="0"/>
          <w:lang w:val="pt-PT"/>
        </w:rPr>
        <w:t xml:space="preserve">́ </w:t>
      </w:r>
      <w:r>
        <w:rPr>
          <w:rtl w:val="0"/>
          <w:lang w:val="pt-PT"/>
        </w:rPr>
        <w:t>signata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rio, garantem a liberdade de expressa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o como um direito fundamental democra</w:t>
      </w:r>
      <w:r>
        <w:rPr>
          <w:rtl w:val="0"/>
          <w:lang w:val="pt-PT"/>
        </w:rPr>
        <w:t>́</w:t>
      </w:r>
      <w:r>
        <w:rPr>
          <w:rtl w:val="0"/>
          <w:lang w:val="pt-PT"/>
        </w:rPr>
        <w:t>tico. Neste sentido, expo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e-se: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  <w:ind w:left="2268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pt-PT"/>
        </w:rPr>
        <w:t>Declarac</w:t>
      </w:r>
      <w:r>
        <w:rPr>
          <w:sz w:val="20"/>
          <w:szCs w:val="20"/>
          <w:u w:val="single"/>
          <w:rtl w:val="0"/>
          <w:lang w:val="pt-PT"/>
        </w:rPr>
        <w:t>̧</w:t>
      </w:r>
      <w:r>
        <w:rPr>
          <w:sz w:val="20"/>
          <w:szCs w:val="20"/>
          <w:u w:val="single"/>
          <w:rtl w:val="0"/>
          <w:lang w:val="pt-PT"/>
        </w:rPr>
        <w:t>a</w:t>
      </w:r>
      <w:r>
        <w:rPr>
          <w:sz w:val="20"/>
          <w:szCs w:val="20"/>
          <w:u w:val="single"/>
          <w:rtl w:val="0"/>
          <w:lang w:val="pt-PT"/>
        </w:rPr>
        <w:t>̃</w:t>
      </w:r>
      <w:r>
        <w:rPr>
          <w:sz w:val="20"/>
          <w:szCs w:val="20"/>
          <w:u w:val="single"/>
          <w:rtl w:val="0"/>
          <w:lang w:val="pt-PT"/>
        </w:rPr>
        <w:t>o Universal dos Direitos Humanos (DUDH), de 1948</w:t>
      </w:r>
    </w:p>
    <w:p>
      <w:pPr>
        <w:pStyle w:val="Normal.0"/>
        <w:spacing w:line="276" w:lineRule="auto"/>
        <w:ind w:left="2268" w:firstLine="0"/>
        <w:rPr>
          <w:sz w:val="20"/>
          <w:szCs w:val="20"/>
          <w:u w:val="single"/>
        </w:rPr>
      </w:pP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“</w:t>
      </w:r>
      <w:r>
        <w:rPr>
          <w:sz w:val="20"/>
          <w:szCs w:val="20"/>
          <w:rtl w:val="0"/>
          <w:lang w:val="pt-PT"/>
        </w:rPr>
        <w:t xml:space="preserve">Art. 19 - </w:t>
      </w:r>
      <w:r>
        <w:rPr>
          <w:b w:val="1"/>
          <w:bCs w:val="1"/>
          <w:sz w:val="20"/>
          <w:szCs w:val="20"/>
          <w:rtl w:val="0"/>
          <w:lang w:val="pt-PT"/>
        </w:rPr>
        <w:t>Toda pessoa tem direito a</w:t>
      </w:r>
      <w:r>
        <w:rPr>
          <w:b w:val="1"/>
          <w:bCs w:val="1"/>
          <w:sz w:val="20"/>
          <w:szCs w:val="20"/>
          <w:rtl w:val="0"/>
          <w:lang w:val="pt-PT"/>
        </w:rPr>
        <w:t xml:space="preserve">̀ </w:t>
      </w:r>
      <w:r>
        <w:rPr>
          <w:b w:val="1"/>
          <w:bCs w:val="1"/>
          <w:sz w:val="20"/>
          <w:szCs w:val="20"/>
          <w:rtl w:val="0"/>
          <w:lang w:val="pt-PT"/>
        </w:rPr>
        <w:t>liberdade de opinia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e expressa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</w:t>
      </w:r>
      <w:r>
        <w:rPr>
          <w:sz w:val="20"/>
          <w:szCs w:val="20"/>
          <w:rtl w:val="0"/>
          <w:lang w:val="pt-PT"/>
        </w:rPr>
        <w:t>; este direito inclui a liberdade de, sem interfere</w:t>
      </w:r>
      <w:r>
        <w:rPr>
          <w:sz w:val="20"/>
          <w:szCs w:val="20"/>
          <w:rtl w:val="0"/>
          <w:lang w:val="pt-PT"/>
        </w:rPr>
        <w:t>̂</w:t>
      </w:r>
      <w:r>
        <w:rPr>
          <w:sz w:val="20"/>
          <w:szCs w:val="20"/>
          <w:rtl w:val="0"/>
          <w:lang w:val="pt-PT"/>
        </w:rPr>
        <w:t>ncia, ter opinio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 xml:space="preserve">es e de procurar, receber e </w:t>
      </w:r>
      <w:r>
        <w:rPr>
          <w:b w:val="1"/>
          <w:bCs w:val="1"/>
          <w:sz w:val="20"/>
          <w:szCs w:val="20"/>
          <w:rtl w:val="0"/>
          <w:lang w:val="pt-PT"/>
        </w:rPr>
        <w:t>transmitir informac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o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es e ideias por quaisquer meios e independentemente de fronteiras</w:t>
      </w:r>
      <w:r>
        <w:rPr>
          <w:sz w:val="20"/>
          <w:szCs w:val="20"/>
          <w:rtl w:val="0"/>
          <w:lang w:val="pt-PT"/>
        </w:rPr>
        <w:t>.</w:t>
      </w:r>
      <w:r>
        <w:rPr>
          <w:sz w:val="20"/>
          <w:szCs w:val="20"/>
          <w:rtl w:val="0"/>
          <w:lang w:val="pt-PT"/>
        </w:rPr>
        <w:t>”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</w:p>
    <w:p>
      <w:pPr>
        <w:pStyle w:val="Normal.0"/>
        <w:spacing w:line="276" w:lineRule="auto"/>
        <w:ind w:left="2268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pt-PT"/>
        </w:rPr>
        <w:t>Pacto Internacional de Direitos Civis e Poli</w:t>
      </w:r>
      <w:r>
        <w:rPr>
          <w:sz w:val="20"/>
          <w:szCs w:val="20"/>
          <w:u w:val="single"/>
          <w:rtl w:val="0"/>
          <w:lang w:val="pt-PT"/>
        </w:rPr>
        <w:t>́</w:t>
      </w:r>
      <w:r>
        <w:rPr>
          <w:sz w:val="20"/>
          <w:szCs w:val="20"/>
          <w:u w:val="single"/>
          <w:rtl w:val="0"/>
          <w:lang w:val="pt-PT"/>
        </w:rPr>
        <w:t>ticos, de 1966 (internalizado pelo Decreto n</w:t>
      </w:r>
      <w:r>
        <w:rPr>
          <w:sz w:val="20"/>
          <w:szCs w:val="20"/>
          <w:u w:val="single"/>
          <w:rtl w:val="0"/>
          <w:lang w:val="pt-PT"/>
        </w:rPr>
        <w:t xml:space="preserve">º </w:t>
      </w:r>
      <w:r>
        <w:rPr>
          <w:sz w:val="20"/>
          <w:szCs w:val="20"/>
          <w:u w:val="single"/>
          <w:rtl w:val="0"/>
          <w:lang w:val="pt-PT"/>
        </w:rPr>
        <w:t>592, de 06 de julho de 1992)</w:t>
      </w:r>
    </w:p>
    <w:p>
      <w:pPr>
        <w:pStyle w:val="Normal.0"/>
        <w:spacing w:line="276" w:lineRule="auto"/>
        <w:ind w:left="2268" w:firstLine="0"/>
        <w:rPr>
          <w:sz w:val="20"/>
          <w:szCs w:val="20"/>
          <w:u w:val="single"/>
        </w:rPr>
      </w:pP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“</w:t>
      </w:r>
      <w:r>
        <w:rPr>
          <w:sz w:val="20"/>
          <w:szCs w:val="20"/>
          <w:rtl w:val="0"/>
          <w:lang w:val="pt-PT"/>
        </w:rPr>
        <w:t>Art. 19</w:t>
      </w:r>
    </w:p>
    <w:p>
      <w:pPr>
        <w:pStyle w:val="Normal.0"/>
        <w:spacing w:line="276" w:lineRule="auto"/>
        <w:ind w:left="2268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1. ningue</w:t>
      </w:r>
      <w:r>
        <w:rPr>
          <w:b w:val="1"/>
          <w:bCs w:val="1"/>
          <w:sz w:val="20"/>
          <w:szCs w:val="20"/>
          <w:rtl w:val="0"/>
          <w:lang w:val="pt-PT"/>
        </w:rPr>
        <w:t>́</w:t>
      </w:r>
      <w:r>
        <w:rPr>
          <w:b w:val="1"/>
          <w:bCs w:val="1"/>
          <w:sz w:val="20"/>
          <w:szCs w:val="20"/>
          <w:rtl w:val="0"/>
          <w:lang w:val="pt-PT"/>
        </w:rPr>
        <w:t>m podera</w:t>
      </w:r>
      <w:r>
        <w:rPr>
          <w:b w:val="1"/>
          <w:bCs w:val="1"/>
          <w:sz w:val="20"/>
          <w:szCs w:val="20"/>
          <w:rtl w:val="0"/>
          <w:lang w:val="pt-PT"/>
        </w:rPr>
        <w:t xml:space="preserve">́ </w:t>
      </w:r>
      <w:r>
        <w:rPr>
          <w:b w:val="1"/>
          <w:bCs w:val="1"/>
          <w:sz w:val="20"/>
          <w:szCs w:val="20"/>
          <w:rtl w:val="0"/>
          <w:lang w:val="pt-PT"/>
        </w:rPr>
        <w:t>ser molestado por suas opinio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es.</w:t>
      </w:r>
    </w:p>
    <w:p>
      <w:pPr>
        <w:pStyle w:val="Normal.0"/>
        <w:spacing w:line="276" w:lineRule="auto"/>
        <w:ind w:left="2268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pt-PT"/>
        </w:rPr>
        <w:t>2. Toda pessoa tera</w:t>
      </w:r>
      <w:r>
        <w:rPr>
          <w:sz w:val="20"/>
          <w:szCs w:val="20"/>
          <w:rtl w:val="0"/>
          <w:lang w:val="pt-PT"/>
        </w:rPr>
        <w:t xml:space="preserve">́ </w:t>
      </w:r>
      <w:r>
        <w:rPr>
          <w:sz w:val="20"/>
          <w:szCs w:val="20"/>
          <w:rtl w:val="0"/>
          <w:lang w:val="pt-PT"/>
        </w:rPr>
        <w:t>direito a</w:t>
      </w:r>
      <w:r>
        <w:rPr>
          <w:sz w:val="20"/>
          <w:szCs w:val="20"/>
          <w:rtl w:val="0"/>
          <w:lang w:val="pt-PT"/>
        </w:rPr>
        <w:t xml:space="preserve">̀ </w:t>
      </w:r>
      <w:r>
        <w:rPr>
          <w:sz w:val="20"/>
          <w:szCs w:val="20"/>
          <w:rtl w:val="0"/>
          <w:lang w:val="pt-PT"/>
        </w:rPr>
        <w:t>liberdade de expressa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 xml:space="preserve">o; </w:t>
      </w:r>
      <w:r>
        <w:rPr>
          <w:b w:val="1"/>
          <w:bCs w:val="1"/>
          <w:sz w:val="20"/>
          <w:szCs w:val="20"/>
          <w:rtl w:val="0"/>
          <w:lang w:val="pt-PT"/>
        </w:rPr>
        <w:t>esse direito incluira</w:t>
      </w:r>
      <w:r>
        <w:rPr>
          <w:b w:val="1"/>
          <w:bCs w:val="1"/>
          <w:sz w:val="20"/>
          <w:szCs w:val="20"/>
          <w:rtl w:val="0"/>
          <w:lang w:val="pt-PT"/>
        </w:rPr>
        <w:t xml:space="preserve">́ </w:t>
      </w:r>
      <w:r>
        <w:rPr>
          <w:b w:val="1"/>
          <w:bCs w:val="1"/>
          <w:sz w:val="20"/>
          <w:szCs w:val="20"/>
          <w:rtl w:val="0"/>
          <w:lang w:val="pt-PT"/>
        </w:rPr>
        <w:t>a liberdade de procurar, receber e difundir informac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o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es e ideias de qualquer natureza, independentemente de considerac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o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es de fronteiras, verbalmente ou por escrito, em forma impressa ou arti</w:t>
      </w:r>
      <w:r>
        <w:rPr>
          <w:b w:val="1"/>
          <w:bCs w:val="1"/>
          <w:sz w:val="20"/>
          <w:szCs w:val="20"/>
          <w:rtl w:val="0"/>
          <w:lang w:val="pt-PT"/>
        </w:rPr>
        <w:t>́</w:t>
      </w:r>
      <w:r>
        <w:rPr>
          <w:b w:val="1"/>
          <w:bCs w:val="1"/>
          <w:sz w:val="20"/>
          <w:szCs w:val="20"/>
          <w:rtl w:val="0"/>
          <w:lang w:val="pt-PT"/>
        </w:rPr>
        <w:t>stica, ou por qualquer outro meio de sua escolha.</w:t>
      </w:r>
    </w:p>
    <w:p>
      <w:pPr>
        <w:pStyle w:val="Normal.0"/>
        <w:spacing w:line="276" w:lineRule="auto"/>
        <w:ind w:left="2268" w:firstLine="0"/>
        <w:rPr>
          <w:sz w:val="20"/>
          <w:szCs w:val="20"/>
          <w:u w:val="single"/>
        </w:rPr>
      </w:pPr>
    </w:p>
    <w:p>
      <w:pPr>
        <w:pStyle w:val="Normal.0"/>
        <w:spacing w:line="276" w:lineRule="auto"/>
        <w:ind w:left="2268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pt-PT"/>
        </w:rPr>
        <w:t>Convenc</w:t>
      </w:r>
      <w:r>
        <w:rPr>
          <w:sz w:val="20"/>
          <w:szCs w:val="20"/>
          <w:u w:val="single"/>
          <w:rtl w:val="0"/>
          <w:lang w:val="pt-PT"/>
        </w:rPr>
        <w:t>̧</w:t>
      </w:r>
      <w:r>
        <w:rPr>
          <w:sz w:val="20"/>
          <w:szCs w:val="20"/>
          <w:u w:val="single"/>
          <w:rtl w:val="0"/>
          <w:lang w:val="pt-PT"/>
        </w:rPr>
        <w:t>a</w:t>
      </w:r>
      <w:r>
        <w:rPr>
          <w:sz w:val="20"/>
          <w:szCs w:val="20"/>
          <w:u w:val="single"/>
          <w:rtl w:val="0"/>
          <w:lang w:val="pt-PT"/>
        </w:rPr>
        <w:t>̃</w:t>
      </w:r>
      <w:r>
        <w:rPr>
          <w:sz w:val="20"/>
          <w:szCs w:val="20"/>
          <w:u w:val="single"/>
          <w:rtl w:val="0"/>
          <w:lang w:val="pt-PT"/>
        </w:rPr>
        <w:t xml:space="preserve">o Americana de Direitos Humanos, de 1969 (internalizada pelo Decreto n </w:t>
      </w:r>
      <w:r>
        <w:rPr>
          <w:sz w:val="20"/>
          <w:szCs w:val="20"/>
          <w:u w:val="single"/>
          <w:rtl w:val="0"/>
          <w:lang w:val="pt-PT"/>
        </w:rPr>
        <w:t xml:space="preserve">º </w:t>
      </w:r>
      <w:r>
        <w:rPr>
          <w:sz w:val="20"/>
          <w:szCs w:val="20"/>
          <w:u w:val="single"/>
          <w:rtl w:val="0"/>
          <w:lang w:val="pt-PT"/>
        </w:rPr>
        <w:t xml:space="preserve">678, de 06 de novembro de 1992) 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“</w:t>
      </w:r>
      <w:r>
        <w:rPr>
          <w:sz w:val="20"/>
          <w:szCs w:val="20"/>
          <w:rtl w:val="0"/>
          <w:lang w:val="pt-PT"/>
        </w:rPr>
        <w:t xml:space="preserve">Art. 13 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Toda pessoa tem direito a</w:t>
      </w:r>
      <w:r>
        <w:rPr>
          <w:sz w:val="20"/>
          <w:szCs w:val="20"/>
          <w:rtl w:val="0"/>
          <w:lang w:val="pt-PT"/>
        </w:rPr>
        <w:t xml:space="preserve">̀ </w:t>
      </w:r>
      <w:r>
        <w:rPr>
          <w:sz w:val="20"/>
          <w:szCs w:val="20"/>
          <w:rtl w:val="0"/>
          <w:lang w:val="pt-PT"/>
        </w:rPr>
        <w:t>liberdade de pensamento e de expressa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>o. Esse direito compreende a liberdade de buscar, receber e difundir informac</w:t>
      </w:r>
      <w:r>
        <w:rPr>
          <w:sz w:val="20"/>
          <w:szCs w:val="20"/>
          <w:rtl w:val="0"/>
          <w:lang w:val="pt-PT"/>
        </w:rPr>
        <w:t>̧</w:t>
      </w:r>
      <w:r>
        <w:rPr>
          <w:sz w:val="20"/>
          <w:szCs w:val="20"/>
          <w:rtl w:val="0"/>
          <w:lang w:val="pt-PT"/>
        </w:rPr>
        <w:t>o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>es e ideias de toda natureza, sem considerac</w:t>
      </w:r>
      <w:r>
        <w:rPr>
          <w:sz w:val="20"/>
          <w:szCs w:val="20"/>
          <w:rtl w:val="0"/>
          <w:lang w:val="pt-PT"/>
        </w:rPr>
        <w:t>̧</w:t>
      </w:r>
      <w:r>
        <w:rPr>
          <w:sz w:val="20"/>
          <w:szCs w:val="20"/>
          <w:rtl w:val="0"/>
          <w:lang w:val="pt-PT"/>
        </w:rPr>
        <w:t>a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>o de fronteiras, verbalmente ou por escrito, ou em forma impressa ou arti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>stica, ou por qualquer outro processo de sua escolha. O exerci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>cio do direito previsto no inciso precedente na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>o pode estar sujeito a</w:t>
      </w:r>
      <w:r>
        <w:rPr>
          <w:sz w:val="20"/>
          <w:szCs w:val="20"/>
          <w:rtl w:val="0"/>
          <w:lang w:val="pt-PT"/>
        </w:rPr>
        <w:t xml:space="preserve">̀ </w:t>
      </w:r>
      <w:r>
        <w:rPr>
          <w:sz w:val="20"/>
          <w:szCs w:val="20"/>
          <w:rtl w:val="0"/>
          <w:lang w:val="pt-PT"/>
        </w:rPr>
        <w:t>censura pre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>via, mas a responsabilidades ulteriores, que devem ser expressamente fixadas pela lei a ser necessa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 xml:space="preserve">ria para assegurar: 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a) o respeito aos direitos ou a</w:t>
      </w:r>
      <w:r>
        <w:rPr>
          <w:sz w:val="20"/>
          <w:szCs w:val="20"/>
          <w:rtl w:val="0"/>
          <w:lang w:val="pt-PT"/>
        </w:rPr>
        <w:t xml:space="preserve">̀ </w:t>
      </w:r>
      <w:r>
        <w:rPr>
          <w:sz w:val="20"/>
          <w:szCs w:val="20"/>
          <w:rtl w:val="0"/>
          <w:lang w:val="pt-PT"/>
        </w:rPr>
        <w:t>reputac</w:t>
      </w:r>
      <w:r>
        <w:rPr>
          <w:sz w:val="20"/>
          <w:szCs w:val="20"/>
          <w:rtl w:val="0"/>
          <w:lang w:val="pt-PT"/>
        </w:rPr>
        <w:t>̧</w:t>
      </w:r>
      <w:r>
        <w:rPr>
          <w:sz w:val="20"/>
          <w:szCs w:val="20"/>
          <w:rtl w:val="0"/>
          <w:lang w:val="pt-PT"/>
        </w:rPr>
        <w:t>a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 xml:space="preserve">o das demais pessoas; ou 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b) a protec</w:t>
      </w:r>
      <w:r>
        <w:rPr>
          <w:sz w:val="20"/>
          <w:szCs w:val="20"/>
          <w:rtl w:val="0"/>
          <w:lang w:val="pt-PT"/>
        </w:rPr>
        <w:t>̧</w:t>
      </w:r>
      <w:r>
        <w:rPr>
          <w:sz w:val="20"/>
          <w:szCs w:val="20"/>
          <w:rtl w:val="0"/>
          <w:lang w:val="pt-PT"/>
        </w:rPr>
        <w:t>a</w:t>
      </w:r>
      <w:r>
        <w:rPr>
          <w:sz w:val="20"/>
          <w:szCs w:val="20"/>
          <w:rtl w:val="0"/>
          <w:lang w:val="pt-PT"/>
        </w:rPr>
        <w:t>̃</w:t>
      </w:r>
      <w:r>
        <w:rPr>
          <w:sz w:val="20"/>
          <w:szCs w:val="20"/>
          <w:rtl w:val="0"/>
          <w:lang w:val="pt-PT"/>
        </w:rPr>
        <w:t>o da seguranc</w:t>
      </w:r>
      <w:r>
        <w:rPr>
          <w:sz w:val="20"/>
          <w:szCs w:val="20"/>
          <w:rtl w:val="0"/>
          <w:lang w:val="pt-PT"/>
        </w:rPr>
        <w:t>̧</w:t>
      </w:r>
      <w:r>
        <w:rPr>
          <w:sz w:val="20"/>
          <w:szCs w:val="20"/>
          <w:rtl w:val="0"/>
          <w:lang w:val="pt-PT"/>
        </w:rPr>
        <w:t>a nacional, da ordem pu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>blica, ou da sau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>de ou da moral pu</w:t>
      </w:r>
      <w:r>
        <w:rPr>
          <w:sz w:val="20"/>
          <w:szCs w:val="20"/>
          <w:rtl w:val="0"/>
          <w:lang w:val="pt-PT"/>
        </w:rPr>
        <w:t>́</w:t>
      </w:r>
      <w:r>
        <w:rPr>
          <w:sz w:val="20"/>
          <w:szCs w:val="20"/>
          <w:rtl w:val="0"/>
          <w:lang w:val="pt-PT"/>
        </w:rPr>
        <w:t xml:space="preserve">blica. 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</w:p>
    <w:p>
      <w:pPr>
        <w:pStyle w:val="Normal.0"/>
        <w:spacing w:line="276" w:lineRule="auto"/>
        <w:ind w:left="2268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3. Na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se pode restringir o direito de expressa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por vias ou meios indiretos, tais como o abuso de controles oficiais ou particulares de papel de imprensa, de freque</w:t>
      </w:r>
      <w:r>
        <w:rPr>
          <w:b w:val="1"/>
          <w:bCs w:val="1"/>
          <w:sz w:val="20"/>
          <w:szCs w:val="20"/>
          <w:rtl w:val="0"/>
          <w:lang w:val="pt-PT"/>
        </w:rPr>
        <w:t>̂</w:t>
      </w:r>
      <w:r>
        <w:rPr>
          <w:b w:val="1"/>
          <w:bCs w:val="1"/>
          <w:sz w:val="20"/>
          <w:szCs w:val="20"/>
          <w:rtl w:val="0"/>
          <w:lang w:val="pt-PT"/>
        </w:rPr>
        <w:t>ncias radioele</w:t>
      </w:r>
      <w:r>
        <w:rPr>
          <w:b w:val="1"/>
          <w:bCs w:val="1"/>
          <w:sz w:val="20"/>
          <w:szCs w:val="20"/>
          <w:rtl w:val="0"/>
          <w:lang w:val="pt-PT"/>
        </w:rPr>
        <w:t>́</w:t>
      </w:r>
      <w:r>
        <w:rPr>
          <w:b w:val="1"/>
          <w:bCs w:val="1"/>
          <w:sz w:val="20"/>
          <w:szCs w:val="20"/>
          <w:rtl w:val="0"/>
          <w:lang w:val="pt-PT"/>
        </w:rPr>
        <w:t>tricas ou de equipamentos e aparelhos usados na difusa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de informac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o, nem por quaisquer outros meios destinados a obstar a comunicac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e a circulac</w:t>
      </w:r>
      <w:r>
        <w:rPr>
          <w:b w:val="1"/>
          <w:bCs w:val="1"/>
          <w:sz w:val="20"/>
          <w:szCs w:val="20"/>
          <w:rtl w:val="0"/>
          <w:lang w:val="pt-PT"/>
        </w:rPr>
        <w:t>̧</w:t>
      </w:r>
      <w:r>
        <w:rPr>
          <w:b w:val="1"/>
          <w:bCs w:val="1"/>
          <w:sz w:val="20"/>
          <w:szCs w:val="20"/>
          <w:rtl w:val="0"/>
          <w:lang w:val="pt-PT"/>
        </w:rPr>
        <w:t>a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o de ideias e opinio</w:t>
      </w:r>
      <w:r>
        <w:rPr>
          <w:b w:val="1"/>
          <w:bCs w:val="1"/>
          <w:sz w:val="20"/>
          <w:szCs w:val="20"/>
          <w:rtl w:val="0"/>
          <w:lang w:val="pt-PT"/>
        </w:rPr>
        <w:t>̃</w:t>
      </w:r>
      <w:r>
        <w:rPr>
          <w:b w:val="1"/>
          <w:bCs w:val="1"/>
          <w:sz w:val="20"/>
          <w:szCs w:val="20"/>
          <w:rtl w:val="0"/>
          <w:lang w:val="pt-PT"/>
        </w:rPr>
        <w:t>es.</w:t>
      </w:r>
      <w:r>
        <w:rPr>
          <w:b w:val="1"/>
          <w:bCs w:val="1"/>
          <w:sz w:val="20"/>
          <w:szCs w:val="20"/>
          <w:rtl w:val="0"/>
          <w:lang w:val="pt-PT"/>
        </w:rPr>
        <w:t xml:space="preserve">” </w:t>
      </w:r>
    </w:p>
    <w:p>
      <w:pPr>
        <w:pStyle w:val="Normal.0"/>
        <w:spacing w:line="276" w:lineRule="auto"/>
        <w:ind w:left="2268" w:firstLine="0"/>
        <w:rPr>
          <w:sz w:val="20"/>
          <w:szCs w:val="20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disso, o ato da Secretaria Nacional de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a, </w:t>
      </w:r>
      <w:r>
        <w:rPr>
          <w:rtl w:val="0"/>
          <w:lang w:val="pt-PT"/>
        </w:rPr>
        <w:t>a decidir de forma unilateral e arbitr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pela classifica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indicativa e 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de exibi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filme, sem a devida instaura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procedimento para que se analise devidamente a reclassifica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viola diretamente o devido processo legal, previsto na Constitui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Federal em seu art. 5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 xml:space="preserve">, inciso LIV. </w:t>
      </w:r>
    </w:p>
    <w:p>
      <w:pPr>
        <w:pStyle w:val="Normal.0"/>
        <w:spacing w:line="276" w:lineRule="auto"/>
        <w:ind w:left="927" w:firstLine="0"/>
        <w:rPr>
          <w:b w:val="1"/>
          <w:bCs w:val="1"/>
          <w:u w:val="single"/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pt-PT"/>
        </w:rPr>
      </w:pPr>
      <w:r>
        <w:rPr>
          <w:b w:val="0"/>
          <w:bCs w:val="0"/>
          <w:rtl w:val="0"/>
          <w:lang w:val="pt-PT"/>
        </w:rPr>
        <w:t>Observa-se, portanto, que, o ato feriu direitos e garantias constitucionais. Isso porque atentou diretamente a liberdade de express</w:t>
      </w:r>
      <w:r>
        <w:rPr>
          <w:b w:val="0"/>
          <w:bCs w:val="0"/>
          <w:rtl w:val="0"/>
          <w:lang w:val="pt-PT"/>
        </w:rPr>
        <w:t>ã</w:t>
      </w:r>
      <w:r>
        <w:rPr>
          <w:b w:val="0"/>
          <w:bCs w:val="0"/>
          <w:rtl w:val="0"/>
          <w:lang w:val="pt-PT"/>
        </w:rPr>
        <w:t>o dos produtores, atores, e cidad</w:t>
      </w:r>
      <w:r>
        <w:rPr>
          <w:b w:val="0"/>
          <w:bCs w:val="0"/>
          <w:rtl w:val="0"/>
          <w:lang w:val="pt-PT"/>
        </w:rPr>
        <w:t>ã</w:t>
      </w:r>
      <w:r>
        <w:rPr>
          <w:b w:val="0"/>
          <w:bCs w:val="0"/>
          <w:rtl w:val="0"/>
          <w:lang w:val="pt-PT"/>
        </w:rPr>
        <w:t>os, que, por tal motivo, se v</w:t>
      </w:r>
      <w:r>
        <w:rPr>
          <w:b w:val="0"/>
          <w:bCs w:val="0"/>
          <w:rtl w:val="0"/>
          <w:lang w:val="pt-PT"/>
        </w:rPr>
        <w:t>ê</w:t>
      </w:r>
      <w:r>
        <w:rPr>
          <w:b w:val="0"/>
          <w:bCs w:val="0"/>
          <w:rtl w:val="0"/>
          <w:lang w:val="pt-PT"/>
        </w:rPr>
        <w:t>em impedidos de exercer sua fun</w:t>
      </w:r>
      <w:r>
        <w:rPr>
          <w:b w:val="0"/>
          <w:bCs w:val="0"/>
          <w:rtl w:val="0"/>
          <w:lang w:val="pt-PT"/>
        </w:rPr>
        <w:t>çã</w:t>
      </w:r>
      <w:r>
        <w:rPr>
          <w:b w:val="0"/>
          <w:bCs w:val="0"/>
          <w:rtl w:val="0"/>
          <w:lang w:val="pt-PT"/>
        </w:rPr>
        <w:t xml:space="preserve">o, privando-os do trabalho que seria transmitido. </w:t>
      </w:r>
    </w:p>
    <w:p>
      <w:pPr>
        <w:pStyle w:val="Normal.0"/>
        <w:spacing w:line="276" w:lineRule="auto"/>
        <w:ind w:left="927" w:firstLine="0"/>
        <w:rPr>
          <w:b w:val="1"/>
          <w:bCs w:val="1"/>
          <w:u w:val="single"/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pt-PT"/>
        </w:rPr>
      </w:pPr>
      <w:r>
        <w:rPr>
          <w:b w:val="0"/>
          <w:bCs w:val="0"/>
          <w:rtl w:val="0"/>
          <w:lang w:val="pt-PT"/>
        </w:rPr>
        <w:t>Sabe-se que a liberdade de express</w:t>
      </w:r>
      <w:r>
        <w:rPr>
          <w:b w:val="0"/>
          <w:bCs w:val="0"/>
          <w:rtl w:val="0"/>
          <w:lang w:val="pt-PT"/>
        </w:rPr>
        <w:t>ã</w:t>
      </w:r>
      <w:r>
        <w:rPr>
          <w:b w:val="0"/>
          <w:bCs w:val="0"/>
          <w:rtl w:val="0"/>
          <w:lang w:val="pt-PT"/>
        </w:rPr>
        <w:t>o, assim como qualquer outro direito ou princ</w:t>
      </w:r>
      <w:r>
        <w:rPr>
          <w:b w:val="0"/>
          <w:bCs w:val="0"/>
          <w:rtl w:val="0"/>
          <w:lang w:val="pt-PT"/>
        </w:rPr>
        <w:t>í</w:t>
      </w:r>
      <w:r>
        <w:rPr>
          <w:b w:val="0"/>
          <w:bCs w:val="0"/>
          <w:rtl w:val="0"/>
          <w:lang w:val="pt-PT"/>
        </w:rPr>
        <w:t>pio fundamental, n</w:t>
      </w:r>
      <w:r>
        <w:rPr>
          <w:b w:val="0"/>
          <w:bCs w:val="0"/>
          <w:rtl w:val="0"/>
          <w:lang w:val="pt-PT"/>
        </w:rPr>
        <w:t>ã</w:t>
      </w:r>
      <w:r>
        <w:rPr>
          <w:b w:val="0"/>
          <w:bCs w:val="0"/>
          <w:rtl w:val="0"/>
          <w:lang w:val="pt-PT"/>
        </w:rPr>
        <w:t xml:space="preserve">o </w:t>
      </w:r>
      <w:r>
        <w:rPr>
          <w:b w:val="0"/>
          <w:bCs w:val="0"/>
          <w:rtl w:val="0"/>
          <w:lang w:val="pt-PT"/>
        </w:rPr>
        <w:t xml:space="preserve">é </w:t>
      </w:r>
      <w:r>
        <w:rPr>
          <w:b w:val="0"/>
          <w:bCs w:val="0"/>
          <w:rtl w:val="0"/>
          <w:lang w:val="pt-PT"/>
        </w:rPr>
        <w:t>absoluto, e que sua limita</w:t>
      </w:r>
      <w:r>
        <w:rPr>
          <w:b w:val="0"/>
          <w:bCs w:val="0"/>
          <w:rtl w:val="0"/>
          <w:lang w:val="pt-PT"/>
        </w:rPr>
        <w:t>çã</w:t>
      </w:r>
      <w:r>
        <w:rPr>
          <w:b w:val="0"/>
          <w:bCs w:val="0"/>
          <w:rtl w:val="0"/>
          <w:lang w:val="pt-PT"/>
        </w:rPr>
        <w:t>o e alcance devem ser analisados concretamente, pautados no princ</w:t>
      </w:r>
      <w:r>
        <w:rPr>
          <w:b w:val="0"/>
          <w:bCs w:val="0"/>
          <w:rtl w:val="0"/>
          <w:lang w:val="pt-PT"/>
        </w:rPr>
        <w:t>í</w:t>
      </w:r>
      <w:r>
        <w:rPr>
          <w:b w:val="0"/>
          <w:bCs w:val="0"/>
          <w:rtl w:val="0"/>
          <w:lang w:val="pt-PT"/>
        </w:rPr>
        <w:t xml:space="preserve">pio da proporcionalidade. </w:t>
      </w:r>
    </w:p>
    <w:p>
      <w:pPr>
        <w:pStyle w:val="Parágrafo da Lista"/>
        <w:rPr>
          <w:b w:val="1"/>
          <w:bCs w:val="1"/>
          <w:u w:val="single"/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Referida viola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significa nada menos do que a perpetua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tra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autorit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de Governo e valores resguardados em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ditatorial. Isso porque, reprimir indiv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duos no exerc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de seus direitos afronta diretamente a regime democr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 que prometeu proteg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-los. Negligenciar essa problem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 seria, portanto, uma forma de descredibilizar a legisla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vigente, bem como os tratados de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 xml:space="preserve">ncia internacional dos quais o Brasil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signat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rio, uma vez que os direitos por eles garantidos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estariam sendo devidamente resguardados. </w:t>
      </w:r>
    </w:p>
    <w:p>
      <w:pPr>
        <w:pStyle w:val="Parágrafo da Lista"/>
        <w:rPr>
          <w:lang w:val="pt-PT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Portanto, a liberdade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art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 deve ser considerada, bem como as circunst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ncias do caso concreto, que envolvem um filme de com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dia, com personagens e contexto fict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cios, e ao qual qualquer avalia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determina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ou recomenda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feita deve ser pautada em prerrogativas constitucionais, sendo vedado qualquer tipo de censura, em respeito ao Estado Democr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tico de Direito. </w:t>
      </w:r>
    </w:p>
    <w:p>
      <w:pPr>
        <w:pStyle w:val="Normal.0"/>
        <w:tabs>
          <w:tab w:val="left" w:pos="851"/>
        </w:tabs>
        <w:ind w:left="927" w:firstLine="0"/>
      </w:pPr>
    </w:p>
    <w:p>
      <w:pPr>
        <w:pStyle w:val="Normal.0"/>
        <w:tabs>
          <w:tab w:val="left" w:pos="4395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V- DA MEDIDA LIMINAR </w:t>
      </w:r>
    </w:p>
    <w:p>
      <w:pPr>
        <w:pStyle w:val="Normal.0"/>
        <w:tabs>
          <w:tab w:val="left" w:pos="4395"/>
        </w:tabs>
      </w:pPr>
    </w:p>
    <w:p>
      <w:pPr>
        <w:pStyle w:val="Normal.0"/>
        <w:numPr>
          <w:ilvl w:val="0"/>
          <w:numId w:val="5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A tutela de urg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prevista no art. 7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III da Lei 12.016/09 requer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das condi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comuns da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condi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espec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ficas, ou seja, a presen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da </w:t>
      </w:r>
      <w:r>
        <w:rPr>
          <w:i w:val="1"/>
          <w:iCs w:val="1"/>
          <w:rtl w:val="0"/>
          <w:lang w:val="pt-PT"/>
        </w:rPr>
        <w:t>“</w:t>
      </w:r>
      <w:r>
        <w:rPr>
          <w:i w:val="1"/>
          <w:iCs w:val="1"/>
          <w:rtl w:val="0"/>
          <w:lang w:val="pt-PT"/>
        </w:rPr>
        <w:t>fumus boni juris</w:t>
      </w:r>
      <w:r>
        <w:rPr>
          <w:i w:val="1"/>
          <w:iCs w:val="1"/>
          <w:rtl w:val="0"/>
          <w:lang w:val="pt-PT"/>
        </w:rPr>
        <w:t xml:space="preserve">” </w:t>
      </w:r>
      <w:r>
        <w:rPr>
          <w:rtl w:val="0"/>
          <w:lang w:val="pt-PT"/>
        </w:rPr>
        <w:t xml:space="preserve">e do </w:t>
      </w:r>
      <w:r>
        <w:rPr>
          <w:i w:val="1"/>
          <w:iCs w:val="1"/>
          <w:rtl w:val="0"/>
          <w:lang w:val="pt-PT"/>
        </w:rPr>
        <w:t>“</w:t>
      </w:r>
      <w:r>
        <w:rPr>
          <w:i w:val="1"/>
          <w:iCs w:val="1"/>
          <w:rtl w:val="0"/>
          <w:lang w:val="pt-PT"/>
        </w:rPr>
        <w:t>periculum in mora</w:t>
      </w:r>
      <w:r>
        <w:rPr>
          <w:i w:val="1"/>
          <w:iCs w:val="1"/>
          <w:rtl w:val="0"/>
          <w:lang w:val="pt-PT"/>
        </w:rPr>
        <w:t>”</w:t>
      </w:r>
      <w:r>
        <w:rPr>
          <w:i w:val="1"/>
          <w:iCs w:val="1"/>
          <w:rtl w:val="0"/>
          <w:lang w:val="pt-PT"/>
        </w:rPr>
        <w:t>.</w:t>
      </w:r>
    </w:p>
    <w:p>
      <w:pPr>
        <w:pStyle w:val="Normal.0"/>
        <w:spacing w:line="276" w:lineRule="auto"/>
        <w:ind w:left="993" w:hanging="426"/>
        <w:rPr>
          <w:b w:val="1"/>
          <w:bCs w:val="1"/>
          <w:u w:val="single"/>
          <w:lang w:val="pt-PT"/>
        </w:rPr>
      </w:pPr>
    </w:p>
    <w:p>
      <w:pPr>
        <w:pStyle w:val="Normal.0"/>
        <w:numPr>
          <w:ilvl w:val="0"/>
          <w:numId w:val="5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Na presente demanda, encontram-se perfeitamente presentes, o </w:t>
      </w:r>
      <w:r>
        <w:rPr>
          <w:i w:val="1"/>
          <w:iCs w:val="1"/>
          <w:rtl w:val="0"/>
          <w:lang w:val="pt-PT"/>
        </w:rPr>
        <w:t>“</w:t>
      </w:r>
      <w:r>
        <w:rPr>
          <w:i w:val="1"/>
          <w:iCs w:val="1"/>
          <w:rtl w:val="0"/>
          <w:lang w:val="pt-PT"/>
        </w:rPr>
        <w:t>fumus bonis juris</w:t>
      </w:r>
      <w:r>
        <w:rPr>
          <w:i w:val="1"/>
          <w:iCs w:val="1"/>
          <w:rtl w:val="0"/>
          <w:lang w:val="pt-PT"/>
        </w:rPr>
        <w:t>”</w:t>
      </w:r>
      <w:r>
        <w:rPr>
          <w:i w:val="1"/>
          <w:iCs w:val="1"/>
          <w:rtl w:val="0"/>
          <w:lang w:val="pt-PT"/>
        </w:rPr>
        <w:t xml:space="preserve">, </w:t>
      </w:r>
      <w:r>
        <w:rPr>
          <w:rtl w:val="0"/>
          <w:lang w:val="pt-PT"/>
        </w:rPr>
        <w:t>em raz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</w:t>
      </w:r>
      <w:r>
        <w:rPr>
          <w:rtl w:val="0"/>
        </w:rPr>
        <w:t>a demonstra</w:t>
      </w:r>
      <w:r>
        <w:rPr>
          <w:rtl w:val="0"/>
        </w:rPr>
        <w:t>çã</w:t>
      </w:r>
      <w:r>
        <w:rPr>
          <w:rtl w:val="0"/>
        </w:rPr>
        <w:t>o da possibilidade de ocorrer um dano jur</w:t>
      </w:r>
      <w:r>
        <w:rPr>
          <w:rtl w:val="0"/>
        </w:rPr>
        <w:t>í</w:t>
      </w:r>
      <w:r>
        <w:rPr>
          <w:rtl w:val="0"/>
        </w:rPr>
        <w:t>dico ao</w:t>
      </w:r>
      <w:r>
        <w:rPr>
          <w:rtl w:val="0"/>
        </w:rPr>
        <w:t> </w:t>
      </w:r>
      <w:r>
        <w:rPr>
          <w:rtl w:val="0"/>
        </w:rPr>
        <w:t>direito</w:t>
      </w:r>
      <w:r>
        <w:rPr>
          <w:rtl w:val="0"/>
          <w:lang w:val="pt-PT"/>
        </w:rPr>
        <w:t xml:space="preserve"> de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no caso em 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conforme a emin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da restri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ria indicativa, bem como a referida retirada do filme dos </w:t>
      </w:r>
      <w:r>
        <w:rPr>
          <w:i w:val="1"/>
          <w:iCs w:val="1"/>
          <w:rtl w:val="0"/>
          <w:lang w:val="pt-PT"/>
        </w:rPr>
        <w:t>streamings</w:t>
      </w:r>
      <w:r>
        <w:rPr>
          <w:rtl w:val="0"/>
          <w:lang w:val="pt-PT"/>
        </w:rPr>
        <w:t>, fomentando ainda mais a censura midi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 em detrimento de conclus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equivocadas e ilegais, fazendo com que o direito de manifesta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de livre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seja diretamente afetado; e o </w:t>
      </w:r>
      <w:r>
        <w:rPr>
          <w:i w:val="1"/>
          <w:iCs w:val="1"/>
          <w:rtl w:val="0"/>
          <w:lang w:val="pt-PT"/>
        </w:rPr>
        <w:t>“</w:t>
      </w:r>
      <w:r>
        <w:rPr>
          <w:i w:val="1"/>
          <w:iCs w:val="1"/>
          <w:rtl w:val="0"/>
          <w:lang w:val="pt-PT"/>
        </w:rPr>
        <w:t>periculum in mora</w:t>
      </w:r>
      <w:r>
        <w:rPr>
          <w:i w:val="1"/>
          <w:iCs w:val="1"/>
          <w:rtl w:val="0"/>
          <w:lang w:val="pt-PT"/>
        </w:rPr>
        <w:t>”</w:t>
      </w:r>
      <w:r>
        <w:rPr>
          <w:rtl w:val="0"/>
          <w:lang w:val="pt-PT"/>
        </w:rPr>
        <w:t xml:space="preserve">, visto que foi determinado multa aos sistemas de </w:t>
      </w:r>
      <w:r>
        <w:rPr>
          <w:i w:val="1"/>
          <w:iCs w:val="1"/>
          <w:rtl w:val="0"/>
          <w:lang w:val="pt-PT"/>
        </w:rPr>
        <w:t xml:space="preserve">streaming </w:t>
      </w:r>
      <w:r>
        <w:rPr>
          <w:rtl w:val="0"/>
          <w:lang w:val="pt-PT"/>
        </w:rPr>
        <w:t>que descumprirem a determina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Normal.0"/>
        <w:spacing w:line="276" w:lineRule="auto"/>
        <w:ind w:left="993" w:hanging="426"/>
      </w:pPr>
    </w:p>
    <w:p>
      <w:pPr>
        <w:pStyle w:val="Normal.0"/>
        <w:numPr>
          <w:ilvl w:val="0"/>
          <w:numId w:val="5"/>
        </w:numPr>
        <w:bidi w:val="0"/>
        <w:spacing w:line="276" w:lineRule="auto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Portanto, para </w:t>
      </w:r>
      <w:r>
        <w:rPr>
          <w:rtl w:val="0"/>
        </w:rPr>
        <w:t xml:space="preserve">que </w:t>
      </w:r>
      <w:r>
        <w:rPr>
          <w:rtl w:val="0"/>
          <w:lang w:val="pt-PT"/>
        </w:rPr>
        <w:t>filmes, 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ries, document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ou quaisquer outras produ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art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sticas que, da mesma forma,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afetem demais direitos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sicos, fundamentais e sociais,</w:t>
      </w:r>
      <w:r>
        <w:rPr>
          <w:rtl w:val="0"/>
        </w:rPr>
        <w:t xml:space="preserve"> </w:t>
      </w:r>
      <w:r>
        <w:rPr>
          <w:rtl w:val="0"/>
          <w:lang w:val="pt-PT"/>
        </w:rPr>
        <w:t>indo contra a censura autorit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ria historicamente existente no Estado brasileiro, </w:t>
      </w:r>
      <w:r>
        <w:rPr>
          <w:rtl w:val="0"/>
          <w:lang w:val="pt-PT"/>
        </w:rPr>
        <w:t>deve a medida liminar ser deferida para que seja suspenso o ato da Secretaria Nacional de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nova classifica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para 18 (dezoito) anos, bem como o ato da Secretaria Nacional do Consumidor, que instaurou processo administrativo cautelar que determina a suspens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imediata da disponibiliza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exibi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oferta do filme em plataformas digitais.</w:t>
      </w:r>
    </w:p>
    <w:p>
      <w:pPr>
        <w:pStyle w:val="Normal.0"/>
        <w:tabs>
          <w:tab w:val="left" w:pos="4395"/>
        </w:tabs>
      </w:pPr>
    </w:p>
    <w:p>
      <w:pPr>
        <w:pStyle w:val="Normal.0"/>
        <w:tabs>
          <w:tab w:val="left" w:pos="4395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VI- DA COMPET</w:t>
      </w:r>
      <w:r>
        <w:rPr>
          <w:b w:val="1"/>
          <w:bCs w:val="1"/>
          <w:rtl w:val="0"/>
          <w:lang w:val="pt-PT"/>
        </w:rPr>
        <w:t>Ê</w:t>
      </w:r>
      <w:r>
        <w:rPr>
          <w:b w:val="1"/>
          <w:bCs w:val="1"/>
          <w:rtl w:val="0"/>
          <w:lang w:val="pt-PT"/>
        </w:rPr>
        <w:t>NCIA</w:t>
      </w:r>
    </w:p>
    <w:p>
      <w:pPr>
        <w:pStyle w:val="Normal.0"/>
        <w:tabs>
          <w:tab w:val="left" w:pos="4395"/>
        </w:tabs>
        <w:rPr>
          <w:b w:val="1"/>
          <w:bCs w:val="1"/>
        </w:rPr>
      </w:pPr>
    </w:p>
    <w:p>
      <w:pPr>
        <w:pStyle w:val="Normal.0"/>
        <w:numPr>
          <w:ilvl w:val="0"/>
          <w:numId w:val="6"/>
        </w:numPr>
        <w:rPr>
          <w:lang w:val="pt-PT"/>
        </w:rPr>
      </w:pPr>
      <w:r>
        <w:rPr>
          <w:rtl w:val="0"/>
          <w:lang w:val="pt-PT"/>
        </w:rPr>
        <w:t xml:space="preserve">Compete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Federal julgar 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contra ato de Secretaria Nacional do Consumidor (SENACON) e Secretaria Nacional da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(SENAJUS), integrante do Minist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da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e vinculados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Federal, por 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do art. 109, I, da Constitui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Federal e consoante jurisprud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tria: </w:t>
      </w:r>
    </w:p>
    <w:p>
      <w:pPr>
        <w:pStyle w:val="Normal.0"/>
        <w:tabs>
          <w:tab w:val="left" w:pos="993"/>
        </w:tabs>
      </w:pPr>
    </w:p>
    <w:p>
      <w:pPr>
        <w:pStyle w:val="Jurisprudencia"/>
      </w:pPr>
      <w:r>
        <w:rPr>
          <w:rtl w:val="0"/>
          <w:lang w:val="pt-PT"/>
        </w:rPr>
        <w:t>“</w:t>
      </w:r>
      <w:r>
        <w:rPr>
          <w:rtl w:val="0"/>
          <w:lang w:val="pt-PT"/>
        </w:rPr>
        <w:t>DECIS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O. Trata-se de </w:t>
      </w:r>
      <w:r>
        <w:rPr>
          <w:b w:val="1"/>
          <w:bCs w:val="1"/>
          <w:rtl w:val="0"/>
          <w:lang w:val="pt-PT"/>
        </w:rPr>
        <w:t>mandado de seguran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  <w:lang w:val="pt-PT"/>
        </w:rPr>
        <w:t>a</w:t>
      </w:r>
      <w:r>
        <w:rPr>
          <w:rtl w:val="0"/>
          <w:lang w:val="pt-PT"/>
        </w:rPr>
        <w:t xml:space="preserve"> coletivo, com pedido de liminar, impetrado pelo CONSELHO FEDERAL DA ORDEM DOS ADVOGADOS DO BRASIL, ORDEM DOS ADVOGADOS DO BRASIL SE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ESTADO DO RJ, ASSOCIA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PRODUTORES DE TEATRO - RJ - APTR, ASSOCIA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PRODUTORES TEATRAIS INDEPENDENTES, SATED SINDICATO ARTISTAS 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CNICOS ESPET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CULOS DIVERS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MINAS GERAIS, 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BRASILEIRA DE COMPOSITORES, ORDEM DOS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SICOS DO BRASIL CONSELHO REGIONAL DE MINAS GERAIS, SINDICATO DOS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SICOS DO ESTADO DO RIO DE JANEIRO, ASSOCIA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BRASILEIRA DE FESTIVAIS INDEPENDENTES - ABRAFIN, em face de ato praticado pelo SECRET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RIO NACIONAL DE FOMENTO E INCENTIVO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 xml:space="preserve">CULTURA, DA </w:t>
      </w:r>
      <w:r>
        <w:rPr>
          <w:b w:val="1"/>
          <w:bCs w:val="1"/>
          <w:rtl w:val="0"/>
          <w:lang w:val="pt-PT"/>
        </w:rPr>
        <w:t>SECRETARIA NACIONAL DE CULTURA</w:t>
      </w:r>
      <w:r>
        <w:rPr>
          <w:rtl w:val="0"/>
          <w:lang w:val="pt-PT"/>
        </w:rPr>
        <w:t xml:space="preserve"> </w:t>
      </w:r>
      <w:r>
        <w:rPr>
          <w:b w:val="1"/>
          <w:bCs w:val="1"/>
          <w:rtl w:val="0"/>
          <w:lang w:val="pt-PT"/>
        </w:rPr>
        <w:t>- MINIST</w:t>
      </w:r>
      <w:r>
        <w:rPr>
          <w:b w:val="1"/>
          <w:bCs w:val="1"/>
          <w:rtl w:val="0"/>
          <w:lang w:val="pt-PT"/>
        </w:rPr>
        <w:t>É</w:t>
      </w:r>
      <w:r>
        <w:rPr>
          <w:b w:val="1"/>
          <w:bCs w:val="1"/>
          <w:rtl w:val="0"/>
          <w:lang w:val="pt-PT"/>
        </w:rPr>
        <w:t>RIO DO TURISMO,</w:t>
      </w:r>
      <w:r>
        <w:rPr>
          <w:rtl w:val="0"/>
          <w:lang w:val="pt-PT"/>
        </w:rPr>
        <w:t xml:space="preserve"> que, na qualidade de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pelas pol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ticas culturais do 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s, deixou de determinar a 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no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Oficial da 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de aproximadamente 450 (quatrocentas e cinquenta) portarias de homologa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para capta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recursos,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rias ao regular tr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 xml:space="preserve">mite administrativo de projetos que visam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percep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incentivos financeiros para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eventos culturais de acordo com as regras do Programa Nacional de Apoio a Cultura (PRONAC). (Processo 1072177-61.2020.4.01.3400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Mandado de Seguran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Coletivo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4</w:t>
      </w:r>
      <w:r>
        <w:rPr>
          <w:rtl w:val="0"/>
          <w:lang w:val="pt-PT"/>
        </w:rPr>
        <w:t xml:space="preserve">ª </w:t>
      </w:r>
      <w:r>
        <w:rPr>
          <w:b w:val="1"/>
          <w:bCs w:val="1"/>
          <w:rtl w:val="0"/>
          <w:lang w:val="pt-PT"/>
        </w:rPr>
        <w:t>Vara Federal C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vel</w:t>
      </w:r>
      <w:r>
        <w:rPr>
          <w:rtl w:val="0"/>
          <w:lang w:val="pt-PT"/>
        </w:rPr>
        <w:t xml:space="preserve"> da SJDF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Federal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Se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Judici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do Distrito Federal)</w:t>
      </w:r>
      <w:r>
        <w:rPr>
          <w:rtl w:val="0"/>
          <w:lang w:val="pt-PT"/>
        </w:rPr>
        <w:t xml:space="preserve">” </w:t>
      </w:r>
      <w:r>
        <w:rPr>
          <w:i w:val="1"/>
          <w:iCs w:val="1"/>
          <w:rtl w:val="0"/>
          <w:lang w:val="pt-PT"/>
        </w:rPr>
        <w:t>(grifos nossos)</w:t>
      </w:r>
    </w:p>
    <w:p>
      <w:pPr>
        <w:pStyle w:val="Normal.0"/>
        <w:tabs>
          <w:tab w:val="left" w:pos="993"/>
        </w:tabs>
        <w:ind w:left="927" w:firstLine="0"/>
      </w:pPr>
    </w:p>
    <w:p>
      <w:pPr>
        <w:pStyle w:val="Normal.0"/>
        <w:tabs>
          <w:tab w:val="left" w:pos="4395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VII- PEDIDOS </w:t>
      </w:r>
    </w:p>
    <w:p>
      <w:pPr>
        <w:pStyle w:val="Normal.0"/>
        <w:tabs>
          <w:tab w:val="left" w:pos="4395"/>
        </w:tabs>
        <w:rPr>
          <w:b w:val="1"/>
          <w:bCs w:val="1"/>
        </w:rPr>
      </w:pPr>
    </w:p>
    <w:p>
      <w:pPr>
        <w:pStyle w:val="Normal.0"/>
        <w:numPr>
          <w:ilvl w:val="0"/>
          <w:numId w:val="6"/>
        </w:numPr>
        <w:rPr>
          <w:lang w:val="pt-PT"/>
        </w:rPr>
      </w:pPr>
      <w:r>
        <w:rPr>
          <w:rtl w:val="0"/>
          <w:lang w:val="pt-PT"/>
        </w:rPr>
        <w:t xml:space="preserve">Ante o exposto, </w:t>
      </w:r>
      <w:r>
        <w:rPr>
          <w:b w:val="1"/>
          <w:bCs w:val="1"/>
          <w:rtl w:val="0"/>
          <w:lang w:val="pt-PT"/>
        </w:rPr>
        <w:t>REQUER</w:t>
      </w:r>
      <w:r>
        <w:rPr>
          <w:rtl w:val="0"/>
          <w:lang w:val="pt-PT"/>
        </w:rPr>
        <w:t>:</w:t>
      </w:r>
    </w:p>
    <w:p>
      <w:pPr>
        <w:pStyle w:val="Normal.0"/>
        <w:numPr>
          <w:ilvl w:val="0"/>
          <w:numId w:val="8"/>
        </w:numPr>
        <w:rPr>
          <w:lang w:val="pt-PT"/>
        </w:rPr>
      </w:pPr>
      <w:r>
        <w:rPr>
          <w:rtl w:val="0"/>
          <w:lang w:val="pt-PT"/>
        </w:rPr>
        <w:t>A concess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medida liminar, com expedi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notifica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para a autoridade coatora, determinando a suspens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 ato dos Secret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da Secretaria Nacional de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bem como da Secretaria Nacional do Consumidor, na forma do art. 7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, lll da Lei 12.016/09;</w:t>
      </w:r>
    </w:p>
    <w:p>
      <w:pPr>
        <w:pStyle w:val="Normal.0"/>
        <w:numPr>
          <w:ilvl w:val="0"/>
          <w:numId w:val="8"/>
        </w:numPr>
        <w:rPr>
          <w:lang w:val="pt-PT"/>
        </w:rPr>
      </w:pPr>
      <w:r>
        <w:rPr>
          <w:rtl w:val="0"/>
          <w:lang w:val="pt-PT"/>
        </w:rPr>
        <w:t>A notifica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autoridade coatora para prestar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no prazo de dez dias, nos termos do art. 7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 xml:space="preserve">, I da Lei 12.016/09; </w:t>
      </w:r>
    </w:p>
    <w:p>
      <w:pPr>
        <w:pStyle w:val="Normal.0"/>
        <w:numPr>
          <w:ilvl w:val="0"/>
          <w:numId w:val="8"/>
        </w:numPr>
        <w:rPr>
          <w:lang w:val="pt-PT"/>
        </w:rPr>
      </w:pPr>
      <w:r>
        <w:rPr>
          <w:rtl w:val="0"/>
          <w:lang w:val="pt-PT"/>
        </w:rPr>
        <w:t>A intima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Minist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Federal  para se manifestar, no prazo improrrog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vel de dez dias, nos termos do art. 12 da Lei 12.016/09;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b w:val="1"/>
          <w:bCs w:val="1"/>
          <w:rtl w:val="0"/>
          <w:lang w:val="pt-PT"/>
        </w:rPr>
      </w:pPr>
      <w:r>
        <w:rPr>
          <w:b w:val="1"/>
          <w:bCs w:val="1"/>
          <w:u w:val="single"/>
          <w:rtl w:val="0"/>
          <w:lang w:val="pt-PT"/>
        </w:rPr>
        <w:t>A concess</w:t>
      </w:r>
      <w:r>
        <w:rPr>
          <w:b w:val="1"/>
          <w:bCs w:val="1"/>
          <w:u w:val="single"/>
          <w:rtl w:val="0"/>
          <w:lang w:val="pt-PT"/>
        </w:rPr>
        <w:t>ã</w:t>
      </w:r>
      <w:r>
        <w:rPr>
          <w:b w:val="1"/>
          <w:bCs w:val="1"/>
          <w:u w:val="single"/>
          <w:rtl w:val="0"/>
          <w:lang w:val="pt-PT"/>
        </w:rPr>
        <w:t>o da seguran</w:t>
      </w:r>
      <w:r>
        <w:rPr>
          <w:b w:val="1"/>
          <w:bCs w:val="1"/>
          <w:u w:val="single"/>
          <w:rtl w:val="0"/>
          <w:lang w:val="pt-PT"/>
        </w:rPr>
        <w:t>ç</w:t>
      </w:r>
      <w:r>
        <w:rPr>
          <w:b w:val="1"/>
          <w:bCs w:val="1"/>
          <w:u w:val="single"/>
          <w:rtl w:val="0"/>
          <w:lang w:val="pt-PT"/>
        </w:rPr>
        <w:t>a, em car</w:t>
      </w:r>
      <w:r>
        <w:rPr>
          <w:b w:val="1"/>
          <w:bCs w:val="1"/>
          <w:u w:val="single"/>
          <w:rtl w:val="0"/>
          <w:lang w:val="pt-PT"/>
        </w:rPr>
        <w:t>á</w:t>
      </w:r>
      <w:r>
        <w:rPr>
          <w:b w:val="1"/>
          <w:bCs w:val="1"/>
          <w:u w:val="single"/>
          <w:rtl w:val="0"/>
          <w:lang w:val="pt-PT"/>
        </w:rPr>
        <w:t xml:space="preserve">ter definitivo, para, no que trata ao ato referente </w:t>
      </w:r>
      <w:r>
        <w:rPr>
          <w:b w:val="1"/>
          <w:bCs w:val="1"/>
          <w:u w:val="single"/>
          <w:rtl w:val="0"/>
          <w:lang w:val="pt-PT"/>
        </w:rPr>
        <w:t xml:space="preserve">à </w:t>
      </w:r>
      <w:r>
        <w:rPr>
          <w:b w:val="1"/>
          <w:bCs w:val="1"/>
          <w:u w:val="single"/>
          <w:rtl w:val="0"/>
          <w:lang w:val="pt-PT"/>
        </w:rPr>
        <w:t>classifica</w:t>
      </w:r>
      <w:r>
        <w:rPr>
          <w:b w:val="1"/>
          <w:bCs w:val="1"/>
          <w:u w:val="single"/>
          <w:rtl w:val="0"/>
          <w:lang w:val="pt-PT"/>
        </w:rPr>
        <w:t>çã</w:t>
      </w:r>
      <w:r>
        <w:rPr>
          <w:b w:val="1"/>
          <w:bCs w:val="1"/>
          <w:u w:val="single"/>
          <w:rtl w:val="0"/>
          <w:lang w:val="pt-PT"/>
        </w:rPr>
        <w:t>o indicativa da Secretaria Nacional de Justi</w:t>
      </w:r>
      <w:r>
        <w:rPr>
          <w:b w:val="1"/>
          <w:bCs w:val="1"/>
          <w:u w:val="single"/>
          <w:rtl w:val="0"/>
          <w:lang w:val="pt-PT"/>
        </w:rPr>
        <w:t>ç</w:t>
      </w:r>
      <w:r>
        <w:rPr>
          <w:b w:val="1"/>
          <w:bCs w:val="1"/>
          <w:u w:val="single"/>
          <w:rtl w:val="0"/>
          <w:lang w:val="pt-PT"/>
        </w:rPr>
        <w:t>a, que se adote o procedimento na forma da Lei para que se analise devidamente a reclassifica</w:t>
      </w:r>
      <w:r>
        <w:rPr>
          <w:b w:val="1"/>
          <w:bCs w:val="1"/>
          <w:u w:val="single"/>
          <w:rtl w:val="0"/>
          <w:lang w:val="pt-PT"/>
        </w:rPr>
        <w:t>çã</w:t>
      </w:r>
      <w:r>
        <w:rPr>
          <w:b w:val="1"/>
          <w:bCs w:val="1"/>
          <w:u w:val="single"/>
          <w:rtl w:val="0"/>
          <w:lang w:val="pt-PT"/>
        </w:rPr>
        <w:t>o, em detrimento de uma determina</w:t>
      </w:r>
      <w:r>
        <w:rPr>
          <w:b w:val="1"/>
          <w:bCs w:val="1"/>
          <w:u w:val="single"/>
          <w:rtl w:val="0"/>
          <w:lang w:val="pt-PT"/>
        </w:rPr>
        <w:t>çã</w:t>
      </w:r>
      <w:r>
        <w:rPr>
          <w:b w:val="1"/>
          <w:bCs w:val="1"/>
          <w:u w:val="single"/>
          <w:rtl w:val="0"/>
          <w:lang w:val="pt-PT"/>
        </w:rPr>
        <w:t>o por um ato unilateral e arbitr</w:t>
      </w:r>
      <w:r>
        <w:rPr>
          <w:b w:val="1"/>
          <w:bCs w:val="1"/>
          <w:u w:val="single"/>
          <w:rtl w:val="0"/>
          <w:lang w:val="pt-PT"/>
        </w:rPr>
        <w:t>á</w:t>
      </w:r>
      <w:r>
        <w:rPr>
          <w:b w:val="1"/>
          <w:bCs w:val="1"/>
          <w:u w:val="single"/>
          <w:rtl w:val="0"/>
          <w:lang w:val="pt-PT"/>
        </w:rPr>
        <w:t>rio, sem o devido processo legal; e, no que tange ao ato de instaura</w:t>
      </w:r>
      <w:r>
        <w:rPr>
          <w:b w:val="1"/>
          <w:bCs w:val="1"/>
          <w:u w:val="single"/>
          <w:rtl w:val="0"/>
          <w:lang w:val="pt-PT"/>
        </w:rPr>
        <w:t>çã</w:t>
      </w:r>
      <w:r>
        <w:rPr>
          <w:b w:val="1"/>
          <w:bCs w:val="1"/>
          <w:u w:val="single"/>
          <w:rtl w:val="0"/>
          <w:lang w:val="pt-PT"/>
        </w:rPr>
        <w:t>o de processo administrativo cautelar determinando a suspens</w:t>
      </w:r>
      <w:r>
        <w:rPr>
          <w:b w:val="1"/>
          <w:bCs w:val="1"/>
          <w:u w:val="single"/>
          <w:rtl w:val="0"/>
          <w:lang w:val="pt-PT"/>
        </w:rPr>
        <w:t>ã</w:t>
      </w:r>
      <w:r>
        <w:rPr>
          <w:b w:val="1"/>
          <w:bCs w:val="1"/>
          <w:u w:val="single"/>
          <w:rtl w:val="0"/>
          <w:lang w:val="pt-PT"/>
        </w:rPr>
        <w:t>o imediata da disponibiliza</w:t>
      </w:r>
      <w:r>
        <w:rPr>
          <w:b w:val="1"/>
          <w:bCs w:val="1"/>
          <w:u w:val="single"/>
          <w:rtl w:val="0"/>
          <w:lang w:val="pt-PT"/>
        </w:rPr>
        <w:t>çã</w:t>
      </w:r>
      <w:r>
        <w:rPr>
          <w:b w:val="1"/>
          <w:bCs w:val="1"/>
          <w:u w:val="single"/>
          <w:rtl w:val="0"/>
          <w:lang w:val="pt-PT"/>
        </w:rPr>
        <w:t xml:space="preserve">o, da Secretaria Nacional do Consumidor, que se anule o ato, por violar o direito fundamental </w:t>
      </w:r>
      <w:r>
        <w:rPr>
          <w:b w:val="1"/>
          <w:bCs w:val="1"/>
          <w:u w:val="single"/>
          <w:rtl w:val="0"/>
          <w:lang w:val="pt-PT"/>
        </w:rPr>
        <w:t xml:space="preserve">à </w:t>
      </w:r>
      <w:r>
        <w:rPr>
          <w:b w:val="1"/>
          <w:bCs w:val="1"/>
          <w:u w:val="single"/>
          <w:rtl w:val="0"/>
          <w:lang w:val="pt-PT"/>
        </w:rPr>
        <w:t>liberdade de express</w:t>
      </w:r>
      <w:r>
        <w:rPr>
          <w:b w:val="1"/>
          <w:bCs w:val="1"/>
          <w:u w:val="single"/>
          <w:rtl w:val="0"/>
          <w:lang w:val="pt-PT"/>
        </w:rPr>
        <w:t>ã</w:t>
      </w:r>
      <w:r>
        <w:rPr>
          <w:b w:val="1"/>
          <w:bCs w:val="1"/>
          <w:u w:val="single"/>
          <w:rtl w:val="0"/>
          <w:lang w:val="pt-PT"/>
        </w:rPr>
        <w:t>o, consoante art. 5</w:t>
      </w:r>
      <w:r>
        <w:rPr>
          <w:b w:val="1"/>
          <w:bCs w:val="1"/>
          <w:u w:val="single"/>
          <w:rtl w:val="0"/>
          <w:lang w:val="pt-PT"/>
        </w:rPr>
        <w:t>º</w:t>
      </w:r>
      <w:r>
        <w:rPr>
          <w:b w:val="1"/>
          <w:bCs w:val="1"/>
          <w:u w:val="single"/>
          <w:rtl w:val="0"/>
          <w:lang w:val="pt-PT"/>
        </w:rPr>
        <w:t xml:space="preserve">, incisos IV e IX e art. 220 da CRFB/88; </w:t>
      </w:r>
    </w:p>
    <w:p>
      <w:pPr>
        <w:pStyle w:val="Normal.0"/>
        <w:numPr>
          <w:ilvl w:val="0"/>
          <w:numId w:val="8"/>
        </w:numPr>
        <w:rPr>
          <w:lang w:val="pt-PT"/>
        </w:rPr>
      </w:pPr>
      <w:r>
        <w:rPr>
          <w:rtl w:val="0"/>
          <w:lang w:val="pt-PT"/>
        </w:rPr>
        <w:t xml:space="preserve"> A condena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impetrados ao pagamento das custas processuais.</w:t>
      </w:r>
    </w:p>
    <w:p>
      <w:pPr>
        <w:pStyle w:val="Normal.0"/>
        <w:numPr>
          <w:ilvl w:val="0"/>
          <w:numId w:val="8"/>
        </w:numPr>
        <w:rPr>
          <w:lang w:val="pt-PT"/>
        </w:rPr>
      </w:pPr>
      <w:r>
        <w:rPr>
          <w:rtl w:val="0"/>
          <w:lang w:val="pt-PT"/>
        </w:rPr>
        <w:t>Por fim, pugna para que as futuras publicac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es e intimac</w:t>
      </w:r>
      <w:r>
        <w:rPr>
          <w:rtl w:val="0"/>
          <w:lang w:val="pt-PT"/>
        </w:rPr>
        <w:t>̧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>̃</w:t>
      </w:r>
      <w:r>
        <w:rPr>
          <w:rtl w:val="0"/>
          <w:lang w:val="pt-PT"/>
        </w:rPr>
        <w:t>es eletro</w:t>
      </w:r>
      <w:r>
        <w:rPr>
          <w:rtl w:val="0"/>
          <w:lang w:val="pt-PT"/>
        </w:rPr>
        <w:t>̂</w:t>
      </w:r>
      <w:r>
        <w:rPr>
          <w:rtl w:val="0"/>
          <w:lang w:val="pt-PT"/>
        </w:rPr>
        <w:t xml:space="preserve">nicas sejam veiculadas em nome do advogado </w:t>
      </w:r>
      <w:r>
        <w:rPr>
          <w:b w:val="1"/>
          <w:bCs w:val="1"/>
          <w:rtl w:val="0"/>
          <w:lang w:val="pt-PT"/>
        </w:rPr>
        <w:t>Carlos Nicodemos Oliveira Silva, OAB/RJ 75.208</w:t>
      </w:r>
      <w:r>
        <w:rPr>
          <w:rtl w:val="0"/>
          <w:lang w:val="pt-PT"/>
        </w:rPr>
        <w:t xml:space="preserve">, e-mail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"mailto:carlosnicodemos@nnadvogados.com"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pt-PT"/>
        </w:rPr>
        <w:t>carlosnicodemos@nnadvogados.com</w:t>
      </w:r>
      <w:r>
        <w:rPr/>
        <w:fldChar w:fldCharType="end" w:fldLock="0"/>
      </w:r>
      <w:r>
        <w:rPr>
          <w:rtl w:val="0"/>
          <w:lang w:val="pt-PT"/>
        </w:rPr>
        <w:t>, sob pena de nulidade.</w:t>
      </w:r>
    </w:p>
    <w:p>
      <w:pPr>
        <w:pStyle w:val="Normal.0"/>
        <w:tabs>
          <w:tab w:val="left" w:pos="993"/>
        </w:tabs>
      </w:pPr>
    </w:p>
    <w:p>
      <w:pPr>
        <w:pStyle w:val="Normal.0"/>
        <w:tabs>
          <w:tab w:val="left" w:pos="993"/>
        </w:tabs>
      </w:pPr>
    </w:p>
    <w:p>
      <w:pPr>
        <w:pStyle w:val="Normal.0"/>
        <w:tabs>
          <w:tab w:val="left" w:pos="993"/>
        </w:tabs>
        <w:ind w:firstLine="0"/>
        <w:jc w:val="center"/>
      </w:pPr>
      <w:r>
        <w:rPr>
          <w:rtl w:val="0"/>
          <w:lang w:val="pt-PT"/>
        </w:rPr>
        <w:t>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-se a causa o valor de R$100,00 (cem reais), de acordo com o art. 291 do CPC.</w:t>
      </w:r>
    </w:p>
    <w:p>
      <w:pPr>
        <w:pStyle w:val="Normal.0"/>
        <w:tabs>
          <w:tab w:val="left" w:pos="993"/>
        </w:tabs>
        <w:ind w:firstLine="0"/>
        <w:jc w:val="center"/>
      </w:pPr>
    </w:p>
    <w:p>
      <w:pPr>
        <w:pStyle w:val="Normal.0"/>
        <w:tabs>
          <w:tab w:val="left" w:pos="993"/>
        </w:tabs>
        <w:ind w:firstLine="0"/>
      </w:pPr>
    </w:p>
    <w:p>
      <w:pPr>
        <w:pStyle w:val="Normal.0"/>
        <w:tabs>
          <w:tab w:val="left" w:pos="993"/>
        </w:tabs>
        <w:ind w:firstLine="0"/>
        <w:jc w:val="center"/>
      </w:pPr>
      <w:r>
        <w:rPr>
          <w:rtl w:val="0"/>
          <w:lang w:val="pt-PT"/>
        </w:rPr>
        <w:t>Pede deferimento.</w:t>
      </w:r>
    </w:p>
    <w:p>
      <w:pPr>
        <w:pStyle w:val="Normal.0"/>
        <w:tabs>
          <w:tab w:val="left" w:pos="993"/>
        </w:tabs>
        <w:ind w:firstLine="0"/>
        <w:jc w:val="center"/>
      </w:pPr>
    </w:p>
    <w:p>
      <w:pPr>
        <w:pStyle w:val="Normal.0"/>
        <w:tabs>
          <w:tab w:val="left" w:pos="993"/>
        </w:tabs>
        <w:ind w:firstLine="0"/>
        <w:jc w:val="center"/>
      </w:pPr>
      <w:r>
        <w:rPr>
          <w:rtl w:val="0"/>
          <w:lang w:val="pt-PT"/>
        </w:rPr>
        <w:t>Rio de Janeiro, 16 de mar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de 2022.</w:t>
      </w:r>
    </w:p>
    <w:p>
      <w:pPr>
        <w:pStyle w:val="Normal.0"/>
        <w:tabs>
          <w:tab w:val="left" w:pos="993"/>
        </w:tabs>
        <w:ind w:firstLine="0"/>
        <w:jc w:val="center"/>
      </w:pPr>
    </w:p>
    <w:p>
      <w:pPr>
        <w:pStyle w:val="Normal.0"/>
        <w:tabs>
          <w:tab w:val="left" w:pos="993"/>
        </w:tabs>
        <w:ind w:firstLine="0"/>
        <w:jc w:val="center"/>
      </w:pPr>
    </w:p>
    <w:p>
      <w:pPr>
        <w:pStyle w:val="Normal.0"/>
        <w:tabs>
          <w:tab w:val="left" w:pos="993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CARLOS NICODEMOS</w:t>
      </w:r>
    </w:p>
    <w:p>
      <w:pPr>
        <w:pStyle w:val="Normal.0"/>
        <w:tabs>
          <w:tab w:val="left" w:pos="993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OAB/RJ 75.208</w:t>
      </w:r>
    </w:p>
    <w:p>
      <w:pPr>
        <w:pStyle w:val="Normal.0"/>
        <w:tabs>
          <w:tab w:val="left" w:pos="993"/>
        </w:tabs>
        <w:ind w:firstLine="0"/>
        <w:jc w:val="center"/>
        <w:rPr>
          <w:b w:val="1"/>
          <w:bCs w:val="1"/>
        </w:rPr>
      </w:pPr>
    </w:p>
    <w:p>
      <w:pPr>
        <w:pStyle w:val="Normal.0"/>
        <w:tabs>
          <w:tab w:val="left" w:pos="993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TAINA JULIANO</w:t>
      </w:r>
    </w:p>
    <w:p>
      <w:pPr>
        <w:pStyle w:val="Normal.0"/>
        <w:tabs>
          <w:tab w:val="left" w:pos="993"/>
        </w:tabs>
        <w:ind w:firstLine="0"/>
        <w:jc w:val="center"/>
      </w:pPr>
      <w:r>
        <w:rPr>
          <w:b w:val="1"/>
          <w:bCs w:val="1"/>
          <w:rtl w:val="0"/>
          <w:lang w:val="pt-PT"/>
        </w:rPr>
        <w:t>OAB/RJ 240.074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142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3105"/>
        <w:tab w:val="left" w:pos="8931"/>
      </w:tabs>
      <w:ind w:firstLine="0"/>
      <w:jc w:val="center"/>
    </w:pPr>
    <w:r>
      <w:rPr>
        <w:lang w:val="en-US"/>
      </w:rPr>
      <w:drawing xmlns:a="http://schemas.openxmlformats.org/drawingml/2006/main">
        <wp:inline distT="0" distB="0" distL="0" distR="0">
          <wp:extent cx="742208" cy="22232"/>
          <wp:effectExtent l="0" t="0" r="0" b="0"/>
          <wp:docPr id="1073741827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8" cy="22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</w:t>
    </w:r>
    <w:r>
      <w:rPr>
        <w:lang w:val="en-US"/>
      </w:rPr>
      <w:drawing xmlns:a="http://schemas.openxmlformats.org/drawingml/2006/main">
        <wp:inline distT="0" distB="0" distL="0" distR="0">
          <wp:extent cx="742208" cy="22232"/>
          <wp:effectExtent l="0" t="0" r="0" b="0"/>
          <wp:docPr id="1073741828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8" cy="22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</w:t>
    </w:r>
    <w:r>
      <w:rPr>
        <w:lang w:val="en-US"/>
      </w:rPr>
      <w:drawing xmlns:a="http://schemas.openxmlformats.org/drawingml/2006/main">
        <wp:inline distT="0" distB="0" distL="0" distR="0">
          <wp:extent cx="742208" cy="22232"/>
          <wp:effectExtent l="0" t="0" r="0" b="0"/>
          <wp:docPr id="1073741829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8" cy="22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</w:t>
    </w:r>
    <w:r>
      <w:rPr>
        <w:lang w:val="en-US"/>
      </w:rPr>
      <w:drawing xmlns:a="http://schemas.openxmlformats.org/drawingml/2006/main">
        <wp:inline distT="0" distB="0" distL="0" distR="0">
          <wp:extent cx="742208" cy="22232"/>
          <wp:effectExtent l="0" t="0" r="0" b="0"/>
          <wp:docPr id="1073741830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8" cy="22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</w:t>
    </w:r>
    <w:r>
      <w:rPr>
        <w:lang w:val="en-US"/>
      </w:rPr>
      <w:drawing xmlns:a="http://schemas.openxmlformats.org/drawingml/2006/main">
        <wp:inline distT="0" distB="0" distL="0" distR="0">
          <wp:extent cx="742208" cy="22232"/>
          <wp:effectExtent l="0" t="0" r="0" b="0"/>
          <wp:docPr id="1073741831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8" cy="22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</w:t>
    </w:r>
    <w:r>
      <w:rPr>
        <w:lang w:val="en-US"/>
      </w:rPr>
      <w:drawing xmlns:a="http://schemas.openxmlformats.org/drawingml/2006/main">
        <wp:inline distT="0" distB="0" distL="0" distR="0">
          <wp:extent cx="742208" cy="22232"/>
          <wp:effectExtent l="0" t="0" r="0" b="0"/>
          <wp:docPr id="1073741832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8" cy="22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tabs>
        <w:tab w:val="left" w:pos="1276"/>
        <w:tab w:val="left" w:pos="2268"/>
        <w:tab w:val="left" w:pos="3105"/>
      </w:tabs>
      <w:ind w:firstLine="0"/>
      <w:jc w:val="center"/>
    </w:pPr>
    <w:r>
      <w:rPr>
        <w:rFonts w:ascii="Times New Roman" w:hAnsi="Times New Roman"/>
        <w:sz w:val="16"/>
        <w:szCs w:val="16"/>
        <w:rtl w:val="0"/>
        <w:lang w:val="pt-PT"/>
      </w:rPr>
      <w:t xml:space="preserve">AVENIDA BEIRA MAR 406   GRUPO 1205    CENTRO   RIO DE JANEIRO   RJ   CEP 20021-900                                                                                                                                                                                               TEL: (+55-21) 2220 0977 e 2524 5598    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"mailto:assistente@nnadvogados.com"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assistente@nnadvogados.com</w:t>
    </w:r>
    <w:r>
      <w:rPr/>
      <w:fldChar w:fldCharType="end" w:fldLock="0"/>
    </w:r>
    <w:r>
      <w:rPr>
        <w:rFonts w:ascii="Times New Roman" w:hAnsi="Times New Roman"/>
        <w:sz w:val="16"/>
        <w:szCs w:val="16"/>
        <w:rtl w:val="0"/>
        <w:lang w:val="pt-PT"/>
      </w:rPr>
      <w:t xml:space="preserve"> 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o de nota de rodapé"/>
      </w:pPr>
      <w:r>
        <w:rPr>
          <w:rStyle w:val="Ref. de nota de rodapé"/>
        </w:rPr>
        <w:footnoteRef/>
      </w:r>
      <w:r>
        <w:rPr>
          <w:rFonts w:cs="Arial Unicode MS" w:eastAsia="Arial Unicode MS"/>
          <w:rtl w:val="0"/>
          <w:lang w:val="pt-PT"/>
        </w:rPr>
        <w:t xml:space="preserve"> https://www.gov.br/mj/pt-br/assuntos/noticias/ministerio-da-justica-e-seguranca-publica-define-que-filme-com-cenas-de-apelo-sexual-nao-e-recomendado-para-menores-de-18-anos</w:t>
      </w:r>
    </w:p>
  </w:footnote>
  <w:footnote w:id="2">
    <w:p>
      <w:pPr>
        <w:pStyle w:val="Texto de nota de rodapé"/>
      </w:pPr>
      <w:r>
        <w:rPr>
          <w:rStyle w:val="Ref. de nota de rodapé"/>
        </w:rPr>
        <w:footnoteRef/>
      </w:r>
      <w:r>
        <w:rPr>
          <w:rFonts w:cs="Arial Unicode MS" w:eastAsia="Arial Unicode MS"/>
          <w:rtl w:val="0"/>
          <w:lang w:val="pt-PT"/>
        </w:rPr>
        <w:t xml:space="preserve"> https://www.in.gov.br/en/web/dou/-/despacho-n-386-de-15-de-marco-de-2022-386104571</w:t>
      </w:r>
    </w:p>
  </w:footnote>
  <w:footnote w:id="3">
    <w:p>
      <w:pPr>
        <w:pStyle w:val="Texto de nota de rodapé"/>
      </w:pPr>
      <w:r>
        <w:rPr>
          <w:rStyle w:val="Ref. de nota de rodapé"/>
        </w:rPr>
        <w:footnoteRef/>
      </w:r>
      <w:r>
        <w:rPr>
          <w:rFonts w:cs="Arial Unicode MS" w:eastAsia="Arial Unicode MS"/>
          <w:rtl w:val="0"/>
          <w:lang w:val="pt-PT"/>
        </w:rPr>
        <w:t xml:space="preserve"> Segundo a Comiss</w:t>
      </w:r>
      <w:r>
        <w:rPr>
          <w:rFonts w:cs="Arial Unicode MS" w:eastAsia="Arial Unicode MS" w:hint="default"/>
          <w:rtl w:val="0"/>
          <w:lang w:val="pt-PT"/>
        </w:rPr>
        <w:t>ã</w:t>
      </w:r>
      <w:r>
        <w:rPr>
          <w:rFonts w:cs="Arial Unicode MS" w:eastAsia="Arial Unicode MS"/>
          <w:rtl w:val="0"/>
          <w:lang w:val="pt-PT"/>
        </w:rPr>
        <w:t xml:space="preserve">o Interamericana </w:t>
      </w:r>
      <w:r>
        <w:rPr>
          <w:rFonts w:cs="Arial Unicode MS" w:eastAsia="Arial Unicode MS" w:hint="default"/>
          <w:rtl w:val="0"/>
          <w:lang w:val="pt-PT"/>
        </w:rPr>
        <w:t>“</w:t>
      </w:r>
      <w:r>
        <w:rPr>
          <w:rFonts w:cs="Arial Unicode MS" w:eastAsia="Arial Unicode MS"/>
          <w:rtl w:val="0"/>
          <w:lang w:val="pt-PT"/>
        </w:rPr>
        <w:t>la censura previa impuesta a la pel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 xml:space="preserve">cula </w:t>
      </w:r>
      <w:r>
        <w:rPr>
          <w:rFonts w:cs="Arial Unicode MS" w:eastAsia="Arial Unicode MS" w:hint="default"/>
          <w:rtl w:val="0"/>
          <w:lang w:val="pt-PT"/>
        </w:rPr>
        <w:t>“</w:t>
      </w:r>
      <w:r>
        <w:rPr>
          <w:rFonts w:cs="Arial Unicode MS" w:eastAsia="Arial Unicode MS"/>
          <w:rtl w:val="0"/>
          <w:lang w:val="pt-PT"/>
        </w:rPr>
        <w:t xml:space="preserve">La </w:t>
      </w:r>
      <w:r>
        <w:rPr>
          <w:rFonts w:cs="Arial Unicode MS" w:eastAsia="Arial Unicode MS" w:hint="default"/>
          <w:rtl w:val="0"/>
          <w:lang w:val="pt-PT"/>
        </w:rPr>
        <w:t>Ú</w:t>
      </w:r>
      <w:r>
        <w:rPr>
          <w:rFonts w:cs="Arial Unicode MS" w:eastAsia="Arial Unicode MS"/>
          <w:rtl w:val="0"/>
          <w:lang w:val="pt-PT"/>
        </w:rPr>
        <w:t>ltima Tentaci</w:t>
      </w:r>
      <w:r>
        <w:rPr>
          <w:rFonts w:cs="Arial Unicode MS" w:eastAsia="Arial Unicode MS" w:hint="default"/>
          <w:rtl w:val="0"/>
          <w:lang w:val="pt-PT"/>
        </w:rPr>
        <w:t>ó</w:t>
      </w:r>
      <w:r>
        <w:rPr>
          <w:rFonts w:cs="Arial Unicode MS" w:eastAsia="Arial Unicode MS"/>
          <w:rtl w:val="0"/>
          <w:lang w:val="pt-PT"/>
        </w:rPr>
        <w:t>n de Cristo</w:t>
      </w:r>
      <w:r>
        <w:rPr>
          <w:rFonts w:cs="Arial Unicode MS" w:eastAsia="Arial Unicode MS" w:hint="default"/>
          <w:rtl w:val="0"/>
          <w:lang w:val="pt-PT"/>
        </w:rPr>
        <w:t xml:space="preserve">” </w:t>
      </w:r>
      <w:r>
        <w:rPr>
          <w:rFonts w:cs="Arial Unicode MS" w:eastAsia="Arial Unicode MS"/>
          <w:rtl w:val="0"/>
          <w:lang w:val="pt-PT"/>
        </w:rPr>
        <w:t>no se produjoenel marco de lasrestricciones o motivaciones previstas enlaConvenci</w:t>
      </w:r>
      <w:r>
        <w:rPr>
          <w:rFonts w:cs="Arial Unicode MS" w:eastAsia="Arial Unicode MS" w:hint="default"/>
          <w:rtl w:val="0"/>
          <w:lang w:val="pt-PT"/>
        </w:rPr>
        <w:t>ó</w:t>
      </w:r>
      <w:r>
        <w:rPr>
          <w:rFonts w:cs="Arial Unicode MS" w:eastAsia="Arial Unicode MS"/>
          <w:rtl w:val="0"/>
          <w:lang w:val="pt-PT"/>
        </w:rPr>
        <w:t>n.</w:t>
      </w:r>
      <w:r>
        <w:rPr>
          <w:rFonts w:cs="Arial Unicode MS" w:eastAsia="Arial Unicode MS" w:hint="default"/>
          <w:rtl w:val="0"/>
          <w:lang w:val="pt-PT"/>
        </w:rPr>
        <w:t>”</w:t>
      </w:r>
      <w:r>
        <w:rPr>
          <w:rFonts w:cs="Arial Unicode MS" w:eastAsia="Arial Unicode MS"/>
          <w:rtl w:val="0"/>
          <w:lang w:val="pt-PT"/>
        </w:rPr>
        <w:t>, par. 61, h.Portanto, n</w:t>
      </w:r>
      <w:r>
        <w:rPr>
          <w:rFonts w:cs="Arial Unicode MS" w:eastAsia="Arial Unicode MS" w:hint="default"/>
          <w:rtl w:val="0"/>
          <w:lang w:val="pt-PT"/>
        </w:rPr>
        <w:t>ã</w:t>
      </w:r>
      <w:r>
        <w:rPr>
          <w:rFonts w:cs="Arial Unicode MS" w:eastAsia="Arial Unicode MS"/>
          <w:rtl w:val="0"/>
          <w:lang w:val="pt-PT"/>
        </w:rPr>
        <w:t>o estando entre as hip</w:t>
      </w:r>
      <w:r>
        <w:rPr>
          <w:rFonts w:cs="Arial Unicode MS" w:eastAsia="Arial Unicode MS" w:hint="default"/>
          <w:rtl w:val="0"/>
          <w:lang w:val="pt-PT"/>
        </w:rPr>
        <w:t>ó</w:t>
      </w:r>
      <w:r>
        <w:rPr>
          <w:rFonts w:cs="Arial Unicode MS" w:eastAsia="Arial Unicode MS"/>
          <w:rtl w:val="0"/>
          <w:lang w:val="pt-PT"/>
        </w:rPr>
        <w:t>teses em que a pr</w:t>
      </w:r>
      <w:r>
        <w:rPr>
          <w:rFonts w:cs="Arial Unicode MS" w:eastAsia="Arial Unicode MS" w:hint="default"/>
          <w:rtl w:val="0"/>
          <w:lang w:val="pt-PT"/>
        </w:rPr>
        <w:t>ó</w:t>
      </w:r>
      <w:r>
        <w:rPr>
          <w:rFonts w:cs="Arial Unicode MS" w:eastAsia="Arial Unicode MS"/>
          <w:rtl w:val="0"/>
          <w:lang w:val="pt-PT"/>
        </w:rPr>
        <w:t>pria Conven</w:t>
      </w:r>
      <w:r>
        <w:rPr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  <w:lang w:val="pt-PT"/>
        </w:rPr>
        <w:t xml:space="preserve">o Americana limitava o direito </w:t>
      </w:r>
      <w:r>
        <w:rPr>
          <w:rFonts w:cs="Arial Unicode MS" w:eastAsia="Arial Unicode MS" w:hint="default"/>
          <w:rtl w:val="0"/>
          <w:lang w:val="pt-PT"/>
        </w:rPr>
        <w:t xml:space="preserve">à </w:t>
      </w:r>
      <w:r>
        <w:rPr>
          <w:rFonts w:cs="Arial Unicode MS" w:eastAsia="Arial Unicode MS"/>
          <w:rtl w:val="0"/>
          <w:lang w:val="pt-PT"/>
        </w:rPr>
        <w:t>liberdade de express</w:t>
      </w:r>
      <w:r>
        <w:rPr>
          <w:rFonts w:cs="Arial Unicode MS" w:eastAsia="Arial Unicode MS" w:hint="default"/>
          <w:rtl w:val="0"/>
          <w:lang w:val="pt-PT"/>
        </w:rPr>
        <w:t>ã</w:t>
      </w:r>
      <w:r>
        <w:rPr>
          <w:rFonts w:cs="Arial Unicode MS" w:eastAsia="Arial Unicode MS"/>
          <w:rtl w:val="0"/>
          <w:lang w:val="pt-PT"/>
        </w:rPr>
        <w:t>o, a censura imposta n</w:t>
      </w:r>
      <w:r>
        <w:rPr>
          <w:rFonts w:cs="Arial Unicode MS" w:eastAsia="Arial Unicode MS" w:hint="default"/>
          <w:rtl w:val="0"/>
          <w:lang w:val="pt-PT"/>
        </w:rPr>
        <w:t>ã</w:t>
      </w:r>
      <w:r>
        <w:rPr>
          <w:rFonts w:cs="Arial Unicode MS" w:eastAsia="Arial Unicode MS"/>
          <w:rtl w:val="0"/>
          <w:lang w:val="pt-PT"/>
        </w:rPr>
        <w:t>o poderia subsistir.</w:t>
      </w:r>
    </w:p>
  </w:footnote>
  <w:footnote w:id="4">
    <w:p>
      <w:pPr>
        <w:pStyle w:val="Texto de nota de rodapé"/>
      </w:pPr>
      <w:r>
        <w:rPr>
          <w:rStyle w:val="Ref. de nota de rodapé"/>
        </w:rPr>
        <w:footnoteRef/>
      </w:r>
      <w:r>
        <w:rPr>
          <w:rFonts w:cs="Arial Unicode MS" w:eastAsia="Arial Unicode MS"/>
          <w:rtl w:val="0"/>
          <w:lang w:val="pt-PT"/>
        </w:rPr>
        <w:t xml:space="preserve"> ULLOA, Adriana Consuelo Jimen</w:t>
      </w:r>
      <w:r>
        <w:rPr>
          <w:rFonts w:cs="Arial Unicode MS" w:eastAsia="Arial Unicode MS" w:hint="default"/>
          <w:rtl w:val="0"/>
          <w:lang w:val="pt-PT"/>
        </w:rPr>
        <w:t>é</w:t>
      </w:r>
      <w:r>
        <w:rPr>
          <w:rFonts w:cs="Arial Unicode MS" w:eastAsia="Arial Unicode MS"/>
          <w:rtl w:val="0"/>
          <w:lang w:val="pt-PT"/>
        </w:rPr>
        <w:t>s. La libertad de expresi</w:t>
      </w:r>
      <w:r>
        <w:rPr>
          <w:rFonts w:cs="Arial Unicode MS" w:eastAsia="Arial Unicode MS" w:hint="default"/>
          <w:rtl w:val="0"/>
          <w:lang w:val="pt-PT"/>
        </w:rPr>
        <w:t>ó</w:t>
      </w:r>
      <w:r>
        <w:rPr>
          <w:rFonts w:cs="Arial Unicode MS" w:eastAsia="Arial Unicode MS"/>
          <w:rtl w:val="0"/>
          <w:lang w:val="pt-PT"/>
        </w:rPr>
        <w:t>nenlajurisprudencia de la Corte Interamericana y del Tribunal Europeo de Derechos Humanos. Bogot</w:t>
      </w:r>
      <w:r>
        <w:rPr>
          <w:rFonts w:cs="Arial Unicode MS" w:eastAsia="Arial Unicode MS" w:hint="default"/>
          <w:rtl w:val="0"/>
          <w:lang w:val="pt-PT"/>
        </w:rPr>
        <w:t>á</w:t>
      </w:r>
      <w:r>
        <w:rPr>
          <w:rFonts w:cs="Arial Unicode MS" w:eastAsia="Arial Unicode MS"/>
          <w:rtl w:val="0"/>
          <w:lang w:val="pt-PT"/>
        </w:rPr>
        <w:t>: Universidad Externado de Colombia, 2010, p. 18.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tabs>
        <w:tab w:val="center" w:pos="2290"/>
        <w:tab w:val="right" w:pos="2520"/>
        <w:tab w:val="clear" w:pos="4252"/>
        <w:tab w:val="clear" w:pos="8504"/>
      </w:tabs>
      <w:ind w:right="360"/>
      <w:jc w:val="center"/>
    </w:pPr>
  </w:p>
  <w:p>
    <w:pPr>
      <w:pStyle w:val="Cabeçalho"/>
      <w:ind w:left="851" w:hanging="709"/>
    </w:pPr>
    <w:r>
      <w:drawing xmlns:a="http://schemas.openxmlformats.org/drawingml/2006/main">
        <wp:inline distT="0" distB="0" distL="0" distR="0">
          <wp:extent cx="764287" cy="764287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87" cy="7642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 </w:t>
    </w:r>
    <w:r>
      <w:drawing xmlns:a="http://schemas.openxmlformats.org/drawingml/2006/main">
        <wp:inline distT="0" distB="0" distL="0" distR="0">
          <wp:extent cx="1268731" cy="695706"/>
          <wp:effectExtent l="0" t="0" r="0" b="0"/>
          <wp:docPr id="1073741826" name="officeArt object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text, clipartDescription automatically generated" descr="A picture containing text, clipart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1" cy="695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3"/>
  </w:abstractNum>
  <w:abstractNum w:abstractNumId="1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</w:tabs>
        <w:ind w:left="1416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574"/>
        </w:tabs>
        <w:ind w:left="2367" w:hanging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3294"/>
        </w:tabs>
        <w:ind w:left="308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4014"/>
        </w:tabs>
        <w:ind w:left="380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734"/>
        </w:tabs>
        <w:ind w:left="4527" w:hanging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454"/>
        </w:tabs>
        <w:ind w:left="524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6174"/>
        </w:tabs>
        <w:ind w:left="596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894"/>
        </w:tabs>
        <w:ind w:left="6687" w:hanging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4"/>
  </w:abstractNum>
  <w:abstractNum w:abstractNumId="3">
    <w:multiLevelType w:val="hybridMultilevel"/>
    <w:styleLink w:val="Estilo Importado 4"/>
    <w:lvl w:ilvl="0">
      <w:start w:val="1"/>
      <w:numFmt w:val="lowerLetter"/>
      <w:suff w:val="tab"/>
      <w:lvlText w:val="%1."/>
      <w:lvlJc w:val="left"/>
      <w:pPr>
        <w:tabs>
          <w:tab w:val="left" w:pos="993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72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8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70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635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367"/>
          </w:tabs>
          <w:ind w:left="2586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087"/>
          </w:tabs>
          <w:ind w:left="330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807"/>
          </w:tabs>
          <w:ind w:left="402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527"/>
          </w:tabs>
          <w:ind w:left="4746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247"/>
          </w:tabs>
          <w:ind w:left="546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967"/>
          </w:tabs>
          <w:ind w:left="618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687"/>
          </w:tabs>
          <w:ind w:left="6906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6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2136"/>
          </w:tabs>
          <w:ind w:left="1429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856"/>
          </w:tabs>
          <w:ind w:left="2149" w:firstLine="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576"/>
          </w:tabs>
          <w:ind w:left="2869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296"/>
          </w:tabs>
          <w:ind w:left="3589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5016"/>
          </w:tabs>
          <w:ind w:left="4309" w:firstLine="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736"/>
          </w:tabs>
          <w:ind w:left="5029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456"/>
          </w:tabs>
          <w:ind w:left="5749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7176"/>
          </w:tabs>
          <w:ind w:left="6469" w:firstLine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701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433"/>
          </w:tabs>
          <w:ind w:left="2718" w:hanging="6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153"/>
          </w:tabs>
          <w:ind w:left="3438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873"/>
          </w:tabs>
          <w:ind w:left="4158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593"/>
          </w:tabs>
          <w:ind w:left="4878" w:hanging="6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313"/>
          </w:tabs>
          <w:ind w:left="5598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033"/>
          </w:tabs>
          <w:ind w:left="6318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753"/>
          </w:tabs>
          <w:ind w:left="7038" w:hanging="6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1416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36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308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</w:tabs>
          <w:ind w:left="380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52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24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596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68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120" w:line="240" w:lineRule="auto"/>
      <w:ind w:left="0" w:right="0" w:firstLine="567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56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16"/>
      <w:szCs w:val="16"/>
    </w:rPr>
  </w:style>
  <w:style w:type="numbering" w:styleId="Estilo Importado 3">
    <w:name w:val="Estilo Importado 3"/>
    <w:pPr>
      <w:numPr>
        <w:numId w:val="1"/>
      </w:numPr>
    </w:pPr>
  </w:style>
  <w:style w:type="paragraph" w:styleId="Jurisprudencia">
    <w:name w:val="Jurisprudencia"/>
    <w:next w:val="Jurisprudenc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3402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Ref. de nota de rodapé">
    <w:name w:val="Ref. de nota de rodapé"/>
    <w:rPr>
      <w:vertAlign w:val="superscript"/>
    </w:rPr>
  </w:style>
  <w:style w:type="paragraph" w:styleId="Texto de nota de rodapé">
    <w:name w:val="Texto de nota de rodapé"/>
    <w:next w:val="Texto de nota de rodap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56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708" w:right="0" w:firstLine="56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4">
    <w:name w:val="Estilo Importado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